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40" w:lineRule="auto"/>
        <w:ind w:left="331" w:right="271" w:firstLine="0"/>
        <w:jc w:val="center"/>
        <w:rPr>
          <w:rFonts w:ascii="Book Antiqua" w:cs="Book Antiqua" w:eastAsia="Book Antiqua" w:hAnsi="Book Antiqua"/>
          <w:b w:val="1"/>
          <w:bCs w:val="1"/>
          <w:color w:val="000000"/>
          <w:sz w:val="28"/>
          <w:szCs w:val="28"/>
        </w:rPr>
      </w:pPr>
      <w:r w:rsidDel="00000000" w:rsidR="00000000" w:rsidRPr="00000000">
        <w:rPr>
          <w:rFonts w:ascii="Book Antiqua" w:cs="Book Antiqua" w:eastAsia="Book Antiqua" w:hAnsi="Book Antiqua"/>
          <w:b w:val="1"/>
          <w:bCs w:val="1"/>
          <w:color w:val="000000"/>
          <w:sz w:val="28"/>
          <w:szCs w:val="28"/>
          <w:rtl w:val="0"/>
        </w:rPr>
        <w:t xml:space="preserve">KRIWIL!N: Inovasi Kemasan dan Pemberdayaan UMKM Berbasis  Modal Sosial di Kampung Jepang Surabaya</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40" w:lineRule="auto"/>
        <w:ind w:left="331" w:right="271" w:firstLine="0"/>
        <w:jc w:val="center"/>
        <w:rPr>
          <w:rFonts w:ascii="Book Antiqua" w:cs="Book Antiqua" w:eastAsia="Book Antiqua" w:hAnsi="Book Antiqua"/>
          <w:b w:val="1"/>
          <w:bCs w:val="1"/>
          <w:color w:val="000000"/>
          <w:sz w:val="28"/>
          <w:szCs w:val="28"/>
        </w:rPr>
      </w:pPr>
      <w:r w:rsidDel="00000000" w:rsidR="00000000" w:rsidRPr="00000000">
        <w:rPr>
          <w:rFonts w:ascii="Book Antiqua" w:cs="Book Antiqua" w:eastAsia="Book Antiqua" w:hAnsi="Book Antiqua"/>
          <w:b w:val="1"/>
          <w:bCs w:val="1"/>
          <w:color w:val="000000"/>
          <w:sz w:val="28"/>
          <w:szCs w:val="28"/>
          <w:rtl w:val="0"/>
        </w:rPr>
        <w:t xml:space="preserve"> </w:t>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spacing w:line="240" w:lineRule="auto"/>
        <w:ind w:left="45" w:right="20" w:firstLine="0"/>
        <w:jc w:val="center"/>
        <w:rPr>
          <w:rFonts w:ascii="Book Antiqua" w:cs="Book Antiqua" w:eastAsia="Book Antiqua" w:hAnsi="Book Antiqua"/>
          <w:b w:val="1"/>
          <w:bCs w:val="1"/>
        </w:rPr>
      </w:pPr>
      <w:r w:rsidDel="00000000" w:rsidR="00000000" w:rsidRPr="00000000">
        <w:rPr>
          <w:rFonts w:ascii="Book Antiqua" w:cs="Book Antiqua" w:eastAsia="Book Antiqua" w:hAnsi="Book Antiqua"/>
          <w:b w:val="1"/>
          <w:bCs w:val="1"/>
          <w:color w:val="000000"/>
          <w:rtl w:val="0"/>
        </w:rPr>
        <w:t xml:space="preserve">M. Hilmi Bayhaqi</w:t>
      </w:r>
      <w:r w:rsidDel="00000000" w:rsidR="00000000" w:rsidRPr="00000000">
        <w:rPr>
          <w:rFonts w:ascii="Book Antiqua" w:cs="Book Antiqua" w:eastAsia="Book Antiqua" w:hAnsi="Book Antiqua"/>
          <w:b w:val="1"/>
          <w:bCs w:val="1"/>
          <w:color w:val="000000"/>
          <w:vertAlign w:val="superscript"/>
          <w:rtl w:val="0"/>
        </w:rPr>
        <w:t xml:space="preserve">1</w:t>
      </w:r>
      <w:r w:rsidDel="00000000" w:rsidR="00000000" w:rsidRPr="00000000">
        <w:rPr>
          <w:rFonts w:ascii="Book Antiqua" w:cs="Book Antiqua" w:eastAsia="Book Antiqua" w:hAnsi="Book Antiqua"/>
          <w:b w:val="1"/>
          <w:bCs w:val="1"/>
          <w:color w:val="000000"/>
          <w:rtl w:val="0"/>
        </w:rPr>
        <w:t xml:space="preserve">, Zuritza Ramadean Suharma</w:t>
      </w:r>
      <w:r w:rsidDel="00000000" w:rsidR="00000000" w:rsidRPr="00000000">
        <w:rPr>
          <w:rFonts w:ascii="Book Antiqua" w:cs="Book Antiqua" w:eastAsia="Book Antiqua" w:hAnsi="Book Antiqua"/>
          <w:b w:val="1"/>
          <w:bCs w:val="1"/>
          <w:color w:val="000000"/>
          <w:vertAlign w:val="superscript"/>
          <w:rtl w:val="0"/>
        </w:rPr>
        <w:t xml:space="preserve">2</w:t>
      </w:r>
      <w:r w:rsidDel="00000000" w:rsidR="00000000" w:rsidRPr="00000000">
        <w:rPr>
          <w:rFonts w:ascii="Book Antiqua" w:cs="Book Antiqua" w:eastAsia="Book Antiqua" w:hAnsi="Book Antiqua"/>
          <w:b w:val="1"/>
          <w:bCs w:val="1"/>
          <w:color w:val="000000"/>
          <w:rtl w:val="0"/>
        </w:rPr>
        <w:t xml:space="preserve">, Zawitri Damayanti</w:t>
      </w:r>
      <w:r w:rsidDel="00000000" w:rsidR="00000000" w:rsidRPr="00000000">
        <w:rPr>
          <w:rFonts w:ascii="Book Antiqua" w:cs="Book Antiqua" w:eastAsia="Book Antiqua" w:hAnsi="Book Antiqua"/>
          <w:b w:val="1"/>
          <w:bCs w:val="1"/>
          <w:color w:val="000000"/>
          <w:vertAlign w:val="superscript"/>
          <w:rtl w:val="0"/>
        </w:rPr>
        <w:t xml:space="preserve">3</w:t>
      </w:r>
      <w:r w:rsidDel="00000000" w:rsidR="00000000" w:rsidRPr="00000000">
        <w:rPr>
          <w:rFonts w:ascii="Book Antiqua" w:cs="Book Antiqua" w:eastAsia="Book Antiqua" w:hAnsi="Book Antiqua"/>
          <w:b w:val="1"/>
          <w:bCs w:val="1"/>
          <w:color w:val="000000"/>
          <w:rtl w:val="0"/>
        </w:rPr>
        <w:t xml:space="preserve">, Aldi Saputra</w:t>
      </w:r>
      <w:r w:rsidDel="00000000" w:rsidR="00000000" w:rsidRPr="00000000">
        <w:rPr>
          <w:rFonts w:ascii="Book Antiqua" w:cs="Book Antiqua" w:eastAsia="Book Antiqua" w:hAnsi="Book Antiqua"/>
          <w:b w:val="1"/>
          <w:bCs w:val="1"/>
          <w:color w:val="000000"/>
          <w:vertAlign w:val="superscript"/>
          <w:rtl w:val="0"/>
        </w:rPr>
        <w:t xml:space="preserve">4</w:t>
      </w:r>
      <w:r w:rsidDel="00000000" w:rsidR="00000000" w:rsidRPr="00000000">
        <w:rPr>
          <w:rFonts w:ascii="Book Antiqua" w:cs="Book Antiqua" w:eastAsia="Book Antiqua" w:hAnsi="Book Antiqua"/>
          <w:b w:val="1"/>
          <w:bCs w:val="1"/>
          <w:color w:val="000000"/>
          <w:rtl w:val="0"/>
        </w:rPr>
        <w:t xml:space="preserve">, Gilang Dwi Prasetyo</w:t>
      </w:r>
      <w:r w:rsidDel="00000000" w:rsidR="00000000" w:rsidRPr="00000000">
        <w:rPr>
          <w:rFonts w:ascii="Book Antiqua" w:cs="Book Antiqua" w:eastAsia="Book Antiqua" w:hAnsi="Book Antiqua"/>
          <w:b w:val="1"/>
          <w:bCs w:val="1"/>
          <w:color w:val="000000"/>
          <w:vertAlign w:val="superscript"/>
          <w:rtl w:val="0"/>
        </w:rPr>
        <w:t xml:space="preserve">5</w:t>
      </w:r>
      <w:r w:rsidDel="00000000" w:rsidR="00000000" w:rsidRPr="00000000">
        <w:rPr>
          <w:rFonts w:ascii="Book Antiqua" w:cs="Book Antiqua" w:eastAsia="Book Antiqua" w:hAnsi="Book Antiqua"/>
          <w:b w:val="1"/>
          <w:bCs w:val="1"/>
          <w:color w:val="000000"/>
          <w:rtl w:val="0"/>
        </w:rPr>
        <w:t xml:space="preserve">, Achmad Fadli  Firmansyah</w:t>
      </w:r>
      <w:r w:rsidDel="00000000" w:rsidR="00000000" w:rsidRPr="00000000">
        <w:rPr>
          <w:rFonts w:ascii="Book Antiqua" w:cs="Book Antiqua" w:eastAsia="Book Antiqua" w:hAnsi="Book Antiqua"/>
          <w:b w:val="1"/>
          <w:bCs w:val="1"/>
          <w:color w:val="000000"/>
          <w:vertAlign w:val="superscript"/>
          <w:rtl w:val="0"/>
        </w:rPr>
        <w:t xml:space="preserve">6</w:t>
      </w:r>
      <w:r w:rsidDel="00000000" w:rsidR="00000000" w:rsidRPr="00000000">
        <w:rPr>
          <w:rFonts w:ascii="Book Antiqua" w:cs="Book Antiqua" w:eastAsia="Book Antiqua" w:hAnsi="Book Antiqua"/>
          <w:b w:val="1"/>
          <w:bCs w:val="1"/>
          <w:color w:val="000000"/>
          <w:rtl w:val="0"/>
        </w:rPr>
        <w:t xml:space="preserve">, Shalom Lincoln Manik</w:t>
      </w:r>
      <w:r w:rsidDel="00000000" w:rsidR="00000000" w:rsidRPr="00000000">
        <w:rPr>
          <w:rFonts w:ascii="Book Antiqua" w:cs="Book Antiqua" w:eastAsia="Book Antiqua" w:hAnsi="Book Antiqua"/>
          <w:b w:val="1"/>
          <w:bCs w:val="1"/>
          <w:color w:val="000000"/>
          <w:vertAlign w:val="superscript"/>
          <w:rtl w:val="0"/>
        </w:rPr>
        <w:t xml:space="preserve">7</w:t>
      </w:r>
      <w:r w:rsidDel="00000000" w:rsidR="00000000" w:rsidRPr="00000000">
        <w:rPr>
          <w:rFonts w:ascii="Book Antiqua" w:cs="Book Antiqua" w:eastAsia="Book Antiqua" w:hAnsi="Book Antiqua"/>
          <w:b w:val="1"/>
          <w:bCs w:val="1"/>
          <w:color w:val="000000"/>
          <w:rtl w:val="0"/>
        </w:rPr>
        <w:t xml:space="preserve">, Shafa Athisyah Nurtain</w:t>
      </w:r>
      <w:r w:rsidDel="00000000" w:rsidR="00000000" w:rsidRPr="00000000">
        <w:rPr>
          <w:rFonts w:ascii="Book Antiqua" w:cs="Book Antiqua" w:eastAsia="Book Antiqua" w:hAnsi="Book Antiqua"/>
          <w:b w:val="1"/>
          <w:bCs w:val="1"/>
          <w:color w:val="000000"/>
          <w:vertAlign w:val="superscript"/>
          <w:rtl w:val="0"/>
        </w:rPr>
        <w:t xml:space="preserve">8</w:t>
      </w:r>
      <w:r w:rsidDel="00000000" w:rsidR="00000000" w:rsidRPr="00000000">
        <w:rPr>
          <w:rFonts w:ascii="Book Antiqua" w:cs="Book Antiqua" w:eastAsia="Book Antiqua" w:hAnsi="Book Antiqua"/>
          <w:b w:val="1"/>
          <w:bCs w:val="1"/>
          <w:color w:val="000000"/>
          <w:rtl w:val="0"/>
        </w:rPr>
        <w:t xml:space="preserve">, Callista Salsabila Azhari</w:t>
      </w:r>
      <w:r w:rsidDel="00000000" w:rsidR="00000000" w:rsidRPr="00000000">
        <w:rPr>
          <w:rFonts w:ascii="Book Antiqua" w:cs="Book Antiqua" w:eastAsia="Book Antiqua" w:hAnsi="Book Antiqua"/>
          <w:b w:val="1"/>
          <w:bCs w:val="1"/>
          <w:color w:val="000000"/>
          <w:vertAlign w:val="superscript"/>
          <w:rtl w:val="0"/>
        </w:rPr>
        <w:t xml:space="preserve">9</w:t>
      </w:r>
      <w:r w:rsidDel="00000000" w:rsidR="00000000" w:rsidRPr="00000000">
        <w:rPr>
          <w:rFonts w:ascii="Book Antiqua" w:cs="Book Antiqua" w:eastAsia="Book Antiqua" w:hAnsi="Book Antiqua"/>
          <w:b w:val="1"/>
          <w:bCs w:val="1"/>
          <w:color w:val="000000"/>
          <w:rtl w:val="0"/>
        </w:rPr>
        <w:t xml:space="preserve">, Orinza Fajria Primerarinda</w:t>
      </w:r>
      <w:r w:rsidDel="00000000" w:rsidR="00000000" w:rsidRPr="00000000">
        <w:rPr>
          <w:rFonts w:ascii="Book Antiqua" w:cs="Book Antiqua" w:eastAsia="Book Antiqua" w:hAnsi="Book Antiqua"/>
          <w:b w:val="1"/>
          <w:bCs w:val="1"/>
          <w:color w:val="000000"/>
          <w:vertAlign w:val="superscript"/>
          <w:rtl w:val="0"/>
        </w:rPr>
        <w:t xml:space="preserve">10</w:t>
      </w:r>
      <w:r w:rsidDel="00000000" w:rsidR="00000000" w:rsidRPr="00000000">
        <w:rPr>
          <w:rFonts w:ascii="Book Antiqua" w:cs="Book Antiqua" w:eastAsia="Book Antiqua" w:hAnsi="Book Antiqua"/>
          <w:b w:val="1"/>
          <w:bCs w:val="1"/>
          <w:rtl w:val="0"/>
        </w:rPr>
        <w:t xml:space="preserve"> , Agung Pujianto</w:t>
      </w:r>
      <w:r w:rsidDel="00000000" w:rsidR="00000000" w:rsidRPr="00000000">
        <w:rPr>
          <w:rFonts w:ascii="Book Antiqua" w:cs="Book Antiqua" w:eastAsia="Book Antiqua" w:hAnsi="Book Antiqua"/>
          <w:b w:val="1"/>
          <w:bCs w:val="1"/>
          <w:vertAlign w:val="superscript"/>
          <w:rtl w:val="0"/>
        </w:rPr>
        <w:t xml:space="preserve">11</w:t>
      </w:r>
      <w:r w:rsidDel="00000000" w:rsidR="00000000" w:rsidRPr="00000000">
        <w:rPr>
          <w:rFonts w:ascii="Book Antiqua" w:cs="Book Antiqua" w:eastAsia="Book Antiqua" w:hAnsi="Book Antiqua"/>
          <w:b w:val="1"/>
          <w:bCs w:val="1"/>
          <w:rtl w:val="0"/>
        </w:rPr>
        <w:t xml:space="preserve">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ind w:left="45" w:right="20" w:firstLine="0"/>
        <w:jc w:val="center"/>
        <w:rPr>
          <w:rFonts w:ascii="Book Antiqua" w:cs="Book Antiqua" w:eastAsia="Book Antiqua" w:hAnsi="Book Antiqua"/>
          <w:color w:val="000000"/>
        </w:rPr>
      </w:pPr>
      <w:r w:rsidDel="00000000" w:rsidR="00000000" w:rsidRPr="00000000">
        <w:rPr>
          <w:rFonts w:ascii="Book Antiqua" w:cs="Book Antiqua" w:eastAsia="Book Antiqua" w:hAnsi="Book Antiqua"/>
          <w:color w:val="000000"/>
          <w:vertAlign w:val="superscript"/>
          <w:rtl w:val="0"/>
        </w:rPr>
        <w:t xml:space="preserve">1</w:t>
      </w:r>
      <w:r w:rsidDel="00000000" w:rsidR="00000000" w:rsidRPr="00000000">
        <w:rPr>
          <w:rFonts w:ascii="Book Antiqua" w:cs="Book Antiqua" w:eastAsia="Book Antiqua" w:hAnsi="Book Antiqua"/>
          <w:vertAlign w:val="superscript"/>
          <w:rtl w:val="0"/>
        </w:rPr>
        <w:t xml:space="preserve">-11</w:t>
      </w:r>
      <w:r w:rsidDel="00000000" w:rsidR="00000000" w:rsidRPr="00000000">
        <w:rPr>
          <w:rFonts w:ascii="Book Antiqua" w:cs="Book Antiqua" w:eastAsia="Book Antiqua" w:hAnsi="Book Antiqua"/>
          <w:color w:val="000000"/>
          <w:rtl w:val="0"/>
        </w:rPr>
        <w:t xml:space="preserve">Program Studi Ilmu Komunikasi, Universitas 17 Agustus 1945 Surabaya </w:t>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jc w:val="center"/>
        <w:rPr>
          <w:rFonts w:ascii="Book Antiqua" w:cs="Book Antiqua" w:eastAsia="Book Antiqua" w:hAnsi="Book Antiqua"/>
          <w:color w:val="0000ff"/>
          <w:u w:val="single"/>
        </w:rPr>
      </w:pPr>
      <w:r w:rsidDel="00000000" w:rsidR="00000000" w:rsidRPr="00000000">
        <w:rPr>
          <w:rFonts w:ascii="Book Antiqua" w:cs="Book Antiqua" w:eastAsia="Book Antiqua" w:hAnsi="Book Antiqua"/>
          <w:color w:val="000000"/>
          <w:rtl w:val="0"/>
        </w:rPr>
        <w:t xml:space="preserve">e-mail korespondensi: </w:t>
      </w:r>
      <w:r w:rsidDel="00000000" w:rsidR="00000000" w:rsidRPr="00000000">
        <w:rPr>
          <w:rFonts w:ascii="Book Antiqua" w:cs="Book Antiqua" w:eastAsia="Book Antiqua" w:hAnsi="Book Antiqua"/>
          <w:color w:val="0000ff"/>
          <w:u w:val="single"/>
          <w:rtl w:val="0"/>
        </w:rPr>
        <w:t xml:space="preserve">hilmibayhaqi1010@gmail.com</w:t>
      </w:r>
      <w:r w:rsidDel="00000000" w:rsidR="00000000" w:rsidRPr="00000000">
        <w:rPr>
          <w:rFonts w:ascii="Book Antiqua" w:cs="Book Antiqua" w:eastAsia="Book Antiqua" w:hAnsi="Book Antiqua"/>
          <w:color w:val="0000ff"/>
          <w:u w:val="single"/>
          <w:vertAlign w:val="superscript"/>
          <w:rtl w:val="0"/>
        </w:rPr>
        <w:t xml:space="preserve">1</w:t>
      </w:r>
      <w:r w:rsidDel="00000000" w:rsidR="00000000" w:rsidRPr="00000000">
        <w:rPr>
          <w:rFonts w:ascii="Book Antiqua" w:cs="Book Antiqua" w:eastAsia="Book Antiqua" w:hAnsi="Book Antiqua"/>
          <w:color w:val="0000ff"/>
          <w:u w:val="single"/>
          <w:rtl w:val="0"/>
        </w:rPr>
        <w:t xml:space="preserve"> </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ind w:left="19" w:firstLine="0"/>
        <w:jc w:val="both"/>
        <w:rPr>
          <w:rFonts w:ascii="Book Antiqua" w:cs="Book Antiqua" w:eastAsia="Book Antiqua" w:hAnsi="Book Antiqua"/>
          <w:b w:val="1"/>
          <w:bCs w:val="1"/>
          <w:i w:val="1"/>
          <w:iCs w:val="1"/>
          <w:color w:val="000000"/>
        </w:rPr>
      </w:pPr>
      <w:r w:rsidDel="00000000" w:rsidR="00000000" w:rsidRPr="00000000">
        <w:rPr>
          <w:rFonts w:ascii="Book Antiqua" w:cs="Book Antiqua" w:eastAsia="Book Antiqua" w:hAnsi="Book Antiqua"/>
          <w:b w:val="1"/>
          <w:bCs w:val="1"/>
          <w:i w:val="1"/>
          <w:iCs w:val="1"/>
          <w:color w:val="000000"/>
          <w:rtl w:val="0"/>
        </w:rPr>
        <w:t xml:space="preserve">Abstrak </w:t>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ind w:left="30" w:right="-6" w:firstLine="722"/>
        <w:jc w:val="both"/>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color w:val="000000"/>
          <w:rtl w:val="0"/>
        </w:rPr>
        <w:t xml:space="preserve">Program pengabdian ini dilatarbelakangi oleh keterbatasan inovasi produk dan strategi  pemasaran pada usaha jajanan tradisional pentol kriwil, sehingga daya saingnya belum optimal di  pasar. Tujuan utama kegiatan ini adalah memberikan pendampingan pengembangan produk melalui  inovasi ukuran, pembaruan kemasan, dan branding untuk menaikkan kelas produk UMKM lokal.  Metode pelaksanaan menggunakan pendekatan kewirausahaan terpadu yang mencakup demonstrasi,  pendampingan intensif, pelatihan, dan Focus Group Discussion (FGD). Sasaran kegiatan ini adalah  pelaku UMKM mitra serta konsumen yang terdiri dari pelajar, mahasiswa, dan masyarakat umum di  lingkungan Kampung Jepang Surabaya. Hasil kegiatan menunjukkan laju konversi penjualan yang  sangat cepat hingga seluruh stok habis terjual berkat penggunaan kemasan food pail modern yang  menarik minat beli warga. Selain itu, modal sosial masyarakat lokal berupa bantuan operasional  terbukti mampu memitigasi kendala fasilitas fisik di lapangan. Kesimpulannya, sinergi antara inovasi  visual produk dan modal sosial (social capital) berkontribusi nyata dalam memberdayakan masyarakat,  mengaktivasi ruang publik, serta menjaga keberlanjutan daya saing ekonomi UMKM di era  kontemporer.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ind w:left="35" w:firstLine="0"/>
        <w:jc w:val="both"/>
        <w:rPr>
          <w:rFonts w:ascii="Book Antiqua" w:cs="Book Antiqua" w:eastAsia="Book Antiqua" w:hAnsi="Book Antiqua"/>
          <w:b w:val="1"/>
          <w:bCs w:val="1"/>
          <w:color w:val="000000"/>
        </w:rPr>
      </w:pP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ind w:left="35" w:firstLine="0"/>
        <w:jc w:val="both"/>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color w:val="000000"/>
          <w:rtl w:val="0"/>
        </w:rPr>
        <w:t xml:space="preserve">Kata kunci : Pentol Kriwil, Inovasi Kemasan, Modal Sosial, UMKM </w:t>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ind w:left="19" w:firstLine="0"/>
        <w:jc w:val="both"/>
        <w:rPr>
          <w:rFonts w:ascii="Book Antiqua" w:cs="Book Antiqua" w:eastAsia="Book Antiqua" w:hAnsi="Book Antiqua"/>
          <w:b w:val="1"/>
          <w:bCs w:val="1"/>
          <w:i w:val="1"/>
          <w:iCs w:val="1"/>
          <w:color w:val="000000"/>
        </w:rPr>
      </w:pP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ind w:left="19" w:firstLine="0"/>
        <w:jc w:val="both"/>
        <w:rPr>
          <w:rFonts w:ascii="Book Antiqua" w:cs="Book Antiqua" w:eastAsia="Book Antiqua" w:hAnsi="Book Antiqua"/>
          <w:b w:val="1"/>
          <w:bCs w:val="1"/>
          <w:i w:val="1"/>
          <w:iCs w:val="1"/>
          <w:color w:val="000000"/>
        </w:rPr>
      </w:pPr>
      <w:r w:rsidDel="00000000" w:rsidR="00000000" w:rsidRPr="00000000">
        <w:rPr>
          <w:rFonts w:ascii="Book Antiqua" w:cs="Book Antiqua" w:eastAsia="Book Antiqua" w:hAnsi="Book Antiqua"/>
          <w:b w:val="1"/>
          <w:bCs w:val="1"/>
          <w:i w:val="1"/>
          <w:iCs w:val="1"/>
          <w:color w:val="000000"/>
          <w:rtl w:val="0"/>
        </w:rPr>
        <w:t xml:space="preserve">Abstrak </w:t>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ind w:left="29" w:right="-5" w:firstLine="721"/>
        <w:jc w:val="both"/>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color w:val="000000"/>
          <w:rtl w:val="0"/>
        </w:rPr>
        <w:t xml:space="preserve">This community service program is motivated by the lack of product and marketing innovation  in traditional pentol kriwil businesses, resulting in suboptimal market competitiveness. The main  objective is to provide mentoring in product development through innovations in size, packaging, and  branding to elevate local SME products. The methods implemented use an integrated entrepreneurship  approach, including demonstrations, intensive mentoring, training, and Focus Group Discussions  (FGD). The target participants are SME partners and consumers consisting of students and the general  public in Kampung Jepang, Surabaya. The results showed a rapid sales conversion where all stock sold  out quickly due to the modern food pail packaging that successfully attracted buyers. Furthermore, the  local community's social capital, demonstrated through operational assistance, successfully mitigated  the limitations of physical facilities. In conclusion, the synergy between visual product innovation and  social capital significantly contributes to community empowerment, public space activation, and the  economic sustainability of SMEs in the contemporary era.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ind w:left="35" w:firstLine="0"/>
        <w:jc w:val="both"/>
        <w:rPr>
          <w:rFonts w:ascii="Book Antiqua" w:cs="Book Antiqua" w:eastAsia="Book Antiqua" w:hAnsi="Book Antiqua"/>
          <w:b w:val="1"/>
          <w:bCs w:val="1"/>
          <w:color w:val="000000"/>
        </w:rPr>
      </w:pPr>
      <w:r w:rsidDel="00000000" w:rsidR="00000000" w:rsidRPr="00000000">
        <w:rPr>
          <w:rtl w:val="0"/>
        </w:rPr>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ind w:left="35" w:firstLine="0"/>
        <w:jc w:val="both"/>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color w:val="000000"/>
          <w:rtl w:val="0"/>
        </w:rPr>
        <w:t xml:space="preserve">Keywords : Pentol Kriwil, Packaging Innovation, Social Capital, SMEs</w:t>
      </w:r>
    </w:p>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ind w:left="36" w:firstLine="0"/>
        <w:jc w:val="both"/>
        <w:rPr>
          <w:rFonts w:ascii="Book Antiqua" w:cs="Book Antiqua" w:eastAsia="Book Antiqua" w:hAnsi="Book Antiqua"/>
          <w:b w:val="1"/>
          <w:bCs w:val="1"/>
          <w:color w:val="000000"/>
        </w:rPr>
      </w:pPr>
      <w:r w:rsidDel="00000000" w:rsidR="00000000" w:rsidRPr="00000000">
        <w:rPr>
          <w:rtl w:val="0"/>
        </w:rPr>
      </w:r>
    </w:p>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ind w:left="36" w:firstLine="0"/>
        <w:jc w:val="both"/>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color w:val="000000"/>
          <w:rtl w:val="0"/>
        </w:rPr>
        <w:t xml:space="preserve">PENDAHULUAN  </w:t>
      </w:r>
    </w:p>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ind w:left="29" w:right="-5" w:firstLine="723"/>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Menjalankan praktikum lapangan di kawasan Kampung Jepang menghadirkan perpaduan  antara tantangan logistik dan kepuasan emosional bagi kelompok kami. Pada fase awal, kegiatan ini  disambut dengan kegembiraan yang besar, walau pada realisasinya tim harus melalui akses jalan yang  cukup sulit dan sempit akibat proyek pembangunan gorong-gorong yang sedang berlangsung.  Tantangan berlanjut pada penyediaan fasilitas tenant yang kurang representatif, di mana ketiadaan  tenda pelindung membuat tim harus menghadapi cuaca panas yang menyengat saat proses loading  barang pada jam satu siang. Beruntung, kondisi cuaca tetap bersahabat dan terhindar dari hujan.  Namun, panasnya terik matahari siang itu seolah langsung terbayar lunas oleh kehangatan dan  keramahan yang ditunjukkan oleh warga setempat. Penjualan produk kelompok kami berkembang  sangat pesat berkat tingginya antusiasme masyarakat Kampung Jepang yang mendominasi perputaran  transaksi. Rasa kekeluargaan semakin kental terasa ketika warga sekitar dengan sigap mengulurkan bantuan berupa peminjaman regulator saat peralatan kami mengalami kerusakan teknis. Pengalaman  ini menegaskan bahwa keberhasilan sebuah program tidak hanya ditentukan oleh kesiapan  infrastruktur, melainkan juga oleh keterlibatan dan penerimaan yang baik dari masyarakat sekitar. </w:t>
      </w:r>
    </w:p>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ind w:left="20" w:right="-3" w:firstLine="73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Secara akademis, fenomena interaksi sosial yang terjadi di Kampung Jepang ini sejalan dengan  teori modal sosial (sosial capital) dalam pembedayaan masyarakat. Sektor makanan dan minuman  mencatat pertumbuhan sebesar 5,53% pada kuartal II tahun 2024 dan memberikan kontribusi terhadap  PDB sebesar 6,97% pada kuartal I tahun 2024 (Kementerian Perdagangan Republik Indonesia, 2024).  Subsektor kuliner sendiri menyumbang Rp455,44 triliun atau sekitar 41% dari total PDB ekonomi  kreatif Indonesia pada tahun 2020 (Kementerian Pariwisata dan Ekonomi Kreatif Republik Indonesia,  2021).Menurut penelitihan dari Dwiningrum dan Ramadani (2021), keberhasilan dari sebuah program  kerja lapangan atau pengabdian di lingkungan masyarakat sangat di tentukan oleh keterkaiatan sosial  dan tingkat penerimaan warga lokal, di mana partisipatif aktif masyarakat mampu mengupayakan  fasilitas fisik dilapangan, Selain keterlibatan sosial, aspel inovasi produk yang di bawa oleh kelompok  juga memegang peran utama. Perubahan jajanan tradisional seperti pentol melalui pembaruhan  identitas visual dan higienitas merupakan langkah strategis dalam menaikkan kelas produk UMKM.  </w:t>
      </w:r>
    </w:p>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ind w:left="29" w:right="-3" w:firstLine="722"/>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Prasmatiwi dan Astuti (2023) dalam studinya menegaskan bahwa intervensi branding yang  tepat serta peralihan kemasan yang lebih estetis (seperti food pail) terbukti signifikan dalam  meningkatkan daya tarik visual, nilai jual serta memperluas segmentasi pasar kuliner tradasional ke  generasi muda. Oleh karena itu, sinergi antara modal sosial masyarakat dan inovasi pemasaran produk  langsung saat bazar menjadi kunci utama dalam berkelanjutan serta akselerasi usaha mikro di era  kontemporer (Setiawan &amp; Arifin, 2020; Setyawan &amp; Wijaya, 2024). Kondisi serupa juga ditemukan pada  berbagai produk jajanan tradisional lainnya. Optimalisasi packaging pada UMKM makanan ringan  tradisional mencakup peluncuran desain kemasan baru yang praktis dengan elemen grafis modern dan  informasi produk yang menarik (Telkom University, 2025). Kemasan yang menarik dan informatif  dapat meningkatkan persepsi kualitas produk di mata konsumen.</w:t>
      </w:r>
    </w:p>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ind w:left="29" w:right="-3" w:firstLine="722"/>
        <w:jc w:val="both"/>
        <w:rPr>
          <w:rFonts w:ascii="Book Antiqua" w:cs="Book Antiqua" w:eastAsia="Book Antiqua" w:hAnsi="Book Antiqua"/>
          <w:color w:val="000000"/>
        </w:rPr>
      </w:pPr>
      <w:r w:rsidDel="00000000" w:rsidR="00000000" w:rsidRPr="00000000">
        <w:rPr>
          <w:rtl w:val="0"/>
        </w:rPr>
      </w:r>
    </w:p>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ind w:left="35" w:firstLine="0"/>
        <w:jc w:val="both"/>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color w:val="000000"/>
          <w:rtl w:val="0"/>
        </w:rPr>
        <w:t xml:space="preserve">METODE  </w:t>
      </w:r>
    </w:p>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ind w:left="31" w:right="-4" w:firstLine="722"/>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Bagian ini menjelaskan secara rinci pendekatan yang digunakan dalam pelaksanaan program  PKM-K "KRIWIL!N Inovasi sebagai Peluang Usaha Kuliner". Uraian mencakup lokasi dan sasaran  kegiatan, metode atau strategi yang diterapkan, tahapan pelaksanaan kegiatan secara sistematis, serta  mekanisme monitoring dan evaluasi yang dilakukan untuk mengukur keberhasilan program serta  keberlanjutan dampaknya bagi masyarakat. </w:t>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ind w:left="29" w:right="-3" w:firstLine="724"/>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Kegiatan PKM-K ini dilaksanakan di wilayah Surabaya dan sekitarnya, dengan lokasi produksi  bertempat di rumah produksi mitra usaha pentol kriwil yang telah beroperasi sebelumnya. Lokasi  produksi memiliki akses terhadap sumber air bersih dan listrik, serta menjamin kebersihan produk  yang dihasilkan. Area produksi ditata secara efisien mulai dari area persiapan bahan baku, pengolahan,  distribusi, hingga pengemasan untuk memastikan kelancaran proses produksi. </w:t>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ind w:left="29" w:right="-4" w:firstLine="721"/>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Sasaran kegiatan ini adalah pelajar, mahasiswa, dan masyarakat umum yang berada di  lingkungan Kampung Jepang Surabaya. Karakteristik mitra yang terlibat adalah pelaku usaha pentol  kriwil yang telah menjalankan usaha serupa secara mandiri selama beberapa tahun. Mitra memiliki  keterbatasan dalam hal inovasi produk dan strategi pemasaran, sehingga produk yang dihasilkan  belum memiliki daya saing yang optimal di pasar. Melalui program PKM-K ini, mitra mendapatkan  pendampingan dalam pengembangan produk melalui inovasi pada aspek ukuran, kemasan, dan  branding. Adapun karakteristik kelompok masyarakat yang menjadi target pasar adalah konsumen  potensial produk jajanan dengan kriteria pelajar dan mahasiswa yang menyukai makanan ringan  praktis dan terjangkau, masyarakat umum yang mencari alternatif jajanan kekinian, serta konsumen  dengan rentang usia 15-35 tahun yang menjadi konsumen dominan produk makanan ringan. </w:t>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ind w:left="29" w:right="-5" w:firstLine="723"/>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Metode pelaksanaan program PKM-K ini menerapkan pendekatan kewirausahaan terpadu  yang menggabungkan aspek produksi, manajemen usaha, dan pemasaran. Strategi yang diterapkan  meliputi beberapa metode yang saling terkait dan dilaksanakan secara berkesinambungan. Metode  demonstrasi dan praktik langsung diterapkan dengan memberikan peragaan langsung proses produksi  pentol kriwil yang baik dan benar, mulai dari pemilihan bahan baku, pengolahan, pembentukan  adonan, perebusan, hingga pengemasan. Metode ini bertujuan untuk memastikan kualitas produk yang  dihasilkan konsisten dan sesuai dengan standar yang ditetapkan, sehingga produk KRIWIL!N memiliki  cita rasa dan tekstur yang khas dan dapat diandalkan. </w:t>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ind w:left="31" w:right="-5" w:firstLine="721"/>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Metode pendampingan dilakukan secara intensif kepada mitra usaha dalam hal inovasi  kemasan dan branding produk. Pendampingan mencakup konsultasi mengenai desain logo, pemilihan  kemasan food pail yang lebih praktis dan menarik sebagai pengganti kemasan styrofoam yang  sebelumnya digunakan, serta strategi pemasaran langsung untuk memperluas jangkauan pasar.  Metode ini bertujuan untuk mentransfer pengetahuan dan keterampilan kepada mitra sehingga mereka  dapat mengembangkan usahanya secara mandiri setelah program berakhir. Metode pelatihan  diberikan kepada tim produksi yang terdiri dari mitra dan anggota tim PKM-K mengenai standar  kebersihan (quality control), teknik pengemasan yang higienis dan menarik, serta teknik pemasaran  dan pelayanan konsumen yang baik. Kegiatan ini bertujuan untuk meningkatkan kapasitas sumber  daya manusia dalam mengelola usaha secara profesional dan berorientasi pada kepuasan konsumen. </w:t>
      </w:r>
    </w:p>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ind w:left="29" w:right="-6" w:firstLine="723"/>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Metode Focus Group Discussion (FGD) dilakukan secara berkala setiap minggu untuk  mengevaluasi perkembangan usaha, mengidentifikasi kendala yang dihadapi, serta merumuskan  solusi perbaikan secara kolektif. FGD melibatkan seluruh anggota tim dan dosen pendamping,  sehingga menjadi wadah diskusi yang konstruktif untuk memastikan program berjalan sesuai dengan  rencana dan mampu mengatasi berbagai tantangan di lapangan. Pelaksanaan program PKM-K ini  dilakukan secara sistematis melalui dua tahapan utama, yaitu tahap perencanaan, dan tahap  pelaksanaan. Tahap perencanaan merupakan tahap awal yang bertujuan untuk mempersiapkan  seluruh kebutuhan usaha sehingga proses produksi dan pemasaran dapat berjalan dengan lancar.  Kegiatan yang dilakukan pada tahap ini meliputi persiapan bahan baku dan peralatan, persiapan lokasi  usaha, penyusunan rencana harga penjualan, pembuatan logo produk, dan pemilihan kemasan. Bahan  baku utama yang digunakan meliputi daging ayam, daging sapi, tepung tapioka, bawang putih, </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ind w:left="29" w:right="-3" w:firstLine="0"/>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bawang merah, daun bawang, garam, gula, penyedap rasa, cabai bubuk, minyak goreng, dan bahan  pelengkap lainnya yang dipilih dengan mempertimbangkan kualitas, kesegaran, dan ketersediaan  pasokan yang stabil dari pemasok lokal. Peralatan produksi yang disiapkan meliputi chopper daging,  baskom, kompor gas, dandang, saringan, centong, capit makanan, dan wadah penyimpanan yang  seluruhnya dibersihkan sebelum digunakan untuk menjaga higienitas produk. Lokasi produksi  dilakukan pada tempat produksi pemilik UMKM yang memiliki sanitasi baik dengan area produksi  yang ditata secara efisien mulai dari area persiapan bahan, pengolahan, pendinginan, hingga  pengemasan. </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ind w:left="29" w:right="-3" w:firstLine="723"/>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Penyusunan rencana keuangan dilakukan untuk mengetahui kebutuhan modal, biaya  operasional, serta proyeksi keuntungan usaha dengan komponen biaya produksi meliputi biaya bahan  baku, biaya kemasan, biaya operasional, dan biaya promosi. Analisis Break Even Point (BEP) digunakan  untuk menentukan jumlah minimum penjualan yang harus dicapai agar usaha tidak mengalami  kerugian, sekaligus menjadi acuan dalam menetapkan target penjualan (Suryana &amp; Bayu, 2022).  Pembuatan identitas merek dilakukan untuk membangun citra produk yang mudah dikenali oleh  konsumen dengan menggunakan merek KRIWIL!N yang diambil dari karakteristik utama produk  yaitu bentuk pentol yang memiliki tekstur kriwil atau tidak rata pada bagian permukaannya. Nama ini  dipilih karena unik, mudah diingat, dan mampu merepresentasikan ciri khas produk dibandingkan  dengan pentol pada umumnya. Desain kemasan menggunakan food pail sebagai pengganti kemasan  plastik yang sebelumnya digunakan oleh mitra usaha karena lebih menarik, praktis, dan memberikan  kesan premium kepada konsumen, dengan stiker yang memuat logo KRIWIL!N, nama produk, dan  kontak pemesanan. </w:t>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ind w:left="29" w:right="-5" w:firstLine="722"/>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Tahap pelaksanaan merupakan inti dari program PKM-K yang meliputi proses produksi,  Product Testing, pengemasan, dan pemasaran produk. Proses produksi diawali dengan pemilihan  bahan baku yang berkualitas untuk menjamin mutu produk yang dihasilkan. Bahan utama berupa  daging ayam dan sapi, tepung tapioka, dan bumbu-bumbu pilihan diolah hingga membentuk adonan  yang homogen. Adonan kemudian dibentuk menjadi pentol dengan tekstur khas yang menjadi ciri  utama produk KRIWIL!N, selanjutnya direbus hingga matang dan siap untuk dikemas. Tahapan  produksi meliputi pembersihan daging ayam dan daging sapi, penghalusan daging menggunakan  chopper, pencampuran dengan tepung tapioka dan bumbu-bumbu hingga membentuk adonan,  pembentukan adonan menjadi bulatan pentol dengan ukuran lebih besar dibandingkan produk pentol  pada umumnya, perebusan dalam air mendidih hingga matang sempurna dengan pengawasan suhu  dan waktu yang tepat, serta pendinginan pada suhu ruang sebelum memasuki tahap pengemasan. </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ind w:left="31" w:right="-5" w:firstLine="721"/>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Product Testing dilakukan untuk memastikan bahwa produk yang dipasarkan memiliki  kualitas yang konsisten melalui bebrapa aspek. Aspek pertama adalah kualitas produk jadi yang  diperiksa dari segi bentuk dan ukuran, tekstur, tingkat kematangan, rasa, dan aroma. Aspek kedua  adalah kualitas kemasan yang diperiksa untuk memastikan tidak terdapat kerusakan, kebocoran,  maupun kesalahan pemasangan stiker produk. Pengemasan produk dilakukan setelah melewati tahap  Product Testing dengan menggunakan food pail yang telah dilengkapi identitas merek melalui tahapan  menyiapkan kemasan food pail, memasukkan produk sesuai porsi yang telah ditentukan (15 biji per  porsi), menambahkan bumbu pelengkap sesuai permintaan konsumen, menutup kemasan dengan  rapat, menempelkan stiker produk, dan menyusun produk untuk proses distribusi. </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ind w:left="26" w:right="-6" w:firstLine="726"/>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Pemasaran produk dilakukan secara langsung melalui penjualan di lingkungan Kampung  Jepang Surabaya pada saat event bazar Social Preneurship 1.0. Metode pemasaran langsung (</w:t>
      </w:r>
      <w:r w:rsidDel="00000000" w:rsidR="00000000" w:rsidRPr="00000000">
        <w:rPr>
          <w:rFonts w:ascii="Book Antiqua" w:cs="Book Antiqua" w:eastAsia="Book Antiqua" w:hAnsi="Book Antiqua"/>
          <w:i w:val="1"/>
          <w:iCs w:val="1"/>
          <w:color w:val="000000"/>
          <w:rtl w:val="0"/>
        </w:rPr>
        <w:t xml:space="preserve">direct  marketing</w:t>
      </w:r>
      <w:r w:rsidDel="00000000" w:rsidR="00000000" w:rsidRPr="00000000">
        <w:rPr>
          <w:rFonts w:ascii="Book Antiqua" w:cs="Book Antiqua" w:eastAsia="Book Antiqua" w:hAnsi="Book Antiqua"/>
          <w:color w:val="000000"/>
          <w:rtl w:val="0"/>
        </w:rPr>
        <w:t xml:space="preserve">) memungkinkan produsen untuk mempromosikan produk secara langsung ke target audiens  tanpa perantara, sehingga membangun hubungan personal dengan konsumen (Kotler &amp; Keller, 2021).  Penjualan langsung di lokasi keramaian seperti bazar terbukti efektif dalam memperkenalkan produk  baru kepada masyarakat (Suryana &amp; Bayu, 2022). Metode penjualan dilakukan karena memungkinkan  tim untuk memperkenalkan produk secara langsung kepada calon konsumen. Pada saat kegiatan bazar,  tim menyiapkan meja yang dilengkapi dengan banner menarik perhatian pengunjung. Program  promosi yang diterapkan pada saat bazar yaitu penjualan berkeliling untuk menarik peminat calon  pembeli. </w:t>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ind w:left="29" w:right="-4" w:firstLine="722"/>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Untuk memastikan keberlanjutan dampak program, beberapa strategi yang telah direncanakan  adalah penggantian kemasan agar lebih terlihat higenis dan premium, dan penambahan logo untuk  meningkatkan harga jual produk. Perluasan jaringan pemasaran melalui pemasaran online dengan  menyediakan produk dengan kemasa frozen atau beku. Inovasi produk berkelanjutan melalui riset dan  pengembangan secara berkala dapat memastikan KRIWIL!N tetap relevan dengan tren pasar yang terus  berubah. Peningkatan kapasitas produksi dengan menambah peralatan dan tenaga kerja akan  memungkinkan pemenuhan permintaan yang semakin meningkat. Pendampingan berkelanjutan juga  menjadi komitmen tim pelaksana untuk terus memberikan konsultasi kepada mitra usaha dalam  bentuk strategi pemasaran, inovasi produk, sehingga dampak program dapat dirasakan dalam jangka  panjang. </w:t>
      </w:r>
    </w:p>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ind w:left="29" w:right="-4" w:firstLine="722"/>
        <w:jc w:val="both"/>
        <w:rPr>
          <w:rFonts w:ascii="Book Antiqua" w:cs="Book Antiqua" w:eastAsia="Book Antiqua" w:hAnsi="Book Antiqua"/>
          <w:color w:val="000000"/>
        </w:rPr>
      </w:pPr>
      <w:r w:rsidDel="00000000" w:rsidR="00000000" w:rsidRPr="00000000">
        <w:rPr>
          <w:rtl w:val="0"/>
        </w:rPr>
      </w:r>
    </w:p>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ind w:left="35" w:firstLine="0"/>
        <w:jc w:val="both"/>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color w:val="000000"/>
          <w:rtl w:val="0"/>
        </w:rPr>
        <w:t xml:space="preserve">HASIL DAN PEMBAHASAN  </w:t>
      </w:r>
    </w:p>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ind w:right="-6" w:firstLine="752"/>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Pelaksanaan praktikum kewirausahaan produk KRIWIL!N di Kampung Jepang mencatatkan  capaian target yang signifikan, ditandai dengan laju konversi penjualan yang berjalan sangat cepat (fast  selling) hingga seluruh stok unit produk pentol kriwil habis terjual dalam waktu singkat. Fenomena  </w:t>
      </w:r>
      <w:r w:rsidDel="00000000" w:rsidR="00000000" w:rsidRPr="00000000">
        <w:rPr>
          <w:rFonts w:ascii="Book Antiqua" w:cs="Book Antiqua" w:eastAsia="Book Antiqua" w:hAnsi="Book Antiqua"/>
          <w:i w:val="1"/>
          <w:iCs w:val="1"/>
          <w:color w:val="000000"/>
          <w:rtl w:val="0"/>
        </w:rPr>
        <w:t xml:space="preserve">fast selling </w:t>
      </w:r>
      <w:r w:rsidDel="00000000" w:rsidR="00000000" w:rsidRPr="00000000">
        <w:rPr>
          <w:rFonts w:ascii="Book Antiqua" w:cs="Book Antiqua" w:eastAsia="Book Antiqua" w:hAnsi="Book Antiqua"/>
          <w:color w:val="000000"/>
          <w:rtl w:val="0"/>
        </w:rPr>
        <w:t xml:space="preserve">ini menunjukkan adanya perilaku pembelian impulsif (</w:t>
      </w:r>
      <w:r w:rsidDel="00000000" w:rsidR="00000000" w:rsidRPr="00000000">
        <w:rPr>
          <w:rFonts w:ascii="Book Antiqua" w:cs="Book Antiqua" w:eastAsia="Book Antiqua" w:hAnsi="Book Antiqua"/>
          <w:i w:val="1"/>
          <w:iCs w:val="1"/>
          <w:color w:val="000000"/>
          <w:rtl w:val="0"/>
        </w:rPr>
        <w:t xml:space="preserve">impulsive buying</w:t>
      </w:r>
      <w:r w:rsidDel="00000000" w:rsidR="00000000" w:rsidRPr="00000000">
        <w:rPr>
          <w:rFonts w:ascii="Book Antiqua" w:cs="Book Antiqua" w:eastAsia="Book Antiqua" w:hAnsi="Book Antiqua"/>
          <w:color w:val="000000"/>
          <w:rtl w:val="0"/>
        </w:rPr>
        <w:t xml:space="preserve">) dari konsumen, di  mana keterbatasan stok dapat mendorong konsumen untuk segera melakukan pembelian tanpa melalui  proses pertimbangan yang panjang (Setiawan &amp; Arifin, 2020). Strategi kelangkaan produk (</w:t>
      </w:r>
      <w:r w:rsidDel="00000000" w:rsidR="00000000" w:rsidRPr="00000000">
        <w:rPr>
          <w:rFonts w:ascii="Book Antiqua" w:cs="Book Antiqua" w:eastAsia="Book Antiqua" w:hAnsi="Book Antiqua"/>
          <w:i w:val="1"/>
          <w:iCs w:val="1"/>
          <w:color w:val="000000"/>
          <w:rtl w:val="0"/>
        </w:rPr>
        <w:t xml:space="preserve">scarcity  marketing</w:t>
      </w:r>
      <w:r w:rsidDel="00000000" w:rsidR="00000000" w:rsidRPr="00000000">
        <w:rPr>
          <w:rFonts w:ascii="Book Antiqua" w:cs="Book Antiqua" w:eastAsia="Book Antiqua" w:hAnsi="Book Antiqua"/>
          <w:color w:val="000000"/>
          <w:rtl w:val="0"/>
        </w:rPr>
        <w:t xml:space="preserve">) terbukti efektif dalam menciptakan urgensi pembelian pada konsumen (Setyawan &amp; Wijaya,  2024). Keberhasilan ini membuktikan efektivitas dari strategi bauran pemasaran (marketing mix) yang  direncanakan, khususnya melalui inovasi dimensi ukuran produk dan penggunaan kemasan kertas  modern berbentuk food pail yang ditempeli stiker logo brand. Didukung juga dengan temuan lain  penelitian (Prasmatiwi &amp; Astuti, 2023), transformasi visual dan higienitas pada jajanan tradisional ini  terbukti memberikan stimulasi visual yang kuat serta mampu meningkatkan nilai jual (value added) di  mata masyarakat, sehingga berhasil menarik minat beli warga secara instan sekaligus menaikkan kelas  produk kuliner lokal. Temuan ini didukung oleh penelitian yang menunjukkan bahwa desain kemasan  tidak lagi sekadar wadah pelindung produk, tetapi juga menjadi alat komunikasi pemasaran yang  membangun nilai merek (</w:t>
      </w:r>
      <w:r w:rsidDel="00000000" w:rsidR="00000000" w:rsidRPr="00000000">
        <w:rPr>
          <w:rFonts w:ascii="Book Antiqua" w:cs="Book Antiqua" w:eastAsia="Book Antiqua" w:hAnsi="Book Antiqua"/>
          <w:i w:val="1"/>
          <w:iCs w:val="1"/>
          <w:color w:val="000000"/>
          <w:rtl w:val="0"/>
        </w:rPr>
        <w:t xml:space="preserve">brand value</w:t>
      </w:r>
      <w:r w:rsidDel="00000000" w:rsidR="00000000" w:rsidRPr="00000000">
        <w:rPr>
          <w:rFonts w:ascii="Book Antiqua" w:cs="Book Antiqua" w:eastAsia="Book Antiqua" w:hAnsi="Book Antiqua"/>
          <w:color w:val="000000"/>
          <w:rtl w:val="0"/>
        </w:rPr>
        <w:t xml:space="preserve">) di mata konsumen (Kotler &amp; Keller, 2021). Penggunaan food pail  sebagai kemasan modern memberikan keunggulan karena lebih higienis, praktis, dan estetis  (Handayani &amp; Rahayu, 2023). </w:t>
      </w:r>
    </w:p>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ind w:left="29" w:right="-5" w:firstLine="722"/>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Di samping kesuksesan penjualan, tim pelaksana dihadapkan pada dinamika lapangan berupa  keterbatasan infrastruktur seperti akses jalan yang sempit akibat pembangunan gorong-gorong,  paparan panas terik saat penataan barang (loading in) pada pukul 13.00 WIB karena ketiadaan tenda  </w:t>
      </w:r>
      <w:r w:rsidDel="00000000" w:rsidR="00000000" w:rsidRPr="00000000">
        <w:rPr>
          <w:rFonts w:ascii="Book Antiqua" w:cs="Book Antiqua" w:eastAsia="Book Antiqua" w:hAnsi="Book Antiqua"/>
          <w:i w:val="1"/>
          <w:iCs w:val="1"/>
          <w:color w:val="000000"/>
          <w:rtl w:val="0"/>
        </w:rPr>
        <w:t xml:space="preserve">tenant</w:t>
      </w:r>
      <w:r w:rsidDel="00000000" w:rsidR="00000000" w:rsidRPr="00000000">
        <w:rPr>
          <w:rFonts w:ascii="Book Antiqua" w:cs="Book Antiqua" w:eastAsia="Book Antiqua" w:hAnsi="Book Antiqua"/>
          <w:color w:val="000000"/>
          <w:rtl w:val="0"/>
        </w:rPr>
        <w:t xml:space="preserve">, hingga kendala teknis berupa kerusakan regulator gas. Namun, tantangan operasional tersebut  berhasil dimitigasi melalui munculnya tindakan spontan warga Kampung Jepang yang bersedia  mengulurkan bantuan peminjaman peralatan secara sukarela. Fenomena ini merupakan perwujudan  nyata dari konsep </w:t>
      </w:r>
      <w:r w:rsidDel="00000000" w:rsidR="00000000" w:rsidRPr="00000000">
        <w:rPr>
          <w:rFonts w:ascii="Book Antiqua" w:cs="Book Antiqua" w:eastAsia="Book Antiqua" w:hAnsi="Book Antiqua"/>
          <w:i w:val="1"/>
          <w:iCs w:val="1"/>
          <w:color w:val="000000"/>
          <w:rtl w:val="0"/>
        </w:rPr>
        <w:t xml:space="preserve">bridging social capital </w:t>
      </w:r>
      <w:r w:rsidDel="00000000" w:rsidR="00000000" w:rsidRPr="00000000">
        <w:rPr>
          <w:rFonts w:ascii="Book Antiqua" w:cs="Book Antiqua" w:eastAsia="Book Antiqua" w:hAnsi="Book Antiqua"/>
          <w:color w:val="000000"/>
          <w:rtl w:val="0"/>
        </w:rPr>
        <w:t xml:space="preserve">(modal sosial menjembatani), di mana solidaritas dan kohesi  sosial yang tinggi dalam masyarakat mampu mengatasi keterbatasan sumber daya fisik (Putnam, 2000).  Modal sosial yang terbentuk dari kebersamaan dan solidaritas dapat memperkuat resiliensi ekonomi masyarakat (Dwiningrum &amp; Ramadani, 2021). Secara akademis, fenomena saling membantu ini  merupakan perwujudan nyata dari konsep bridging social capital (modal sosial menjembatani), di  mana tingginya kohesi sosial dan penerimaan positif masyarakat lokal terbukti mampu menyubstitusi  keterbatasan fasilitas fisik (Dwiningrum &amp; Ramadani, 2021). Kegiatan ini pada akhirnya memberikan  kontribusi sosial yang nyata dalam mengaktivasi ruang publik secara produktif, sekaligus memiliki  potensi keberlanjutan yang besar untuk direplikasi oleh UMKM tradisional sekitar guna meningkatkan  daya saing ekonomi mereka secara mandiri. </w:t>
      </w:r>
    </w:p>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ind w:left="29" w:right="-5" w:firstLine="722"/>
        <w:jc w:val="both"/>
        <w:rPr>
          <w:rFonts w:ascii="Book Antiqua" w:cs="Book Antiqua" w:eastAsia="Book Antiqua" w:hAnsi="Book Antiqua"/>
          <w:color w:val="000000"/>
        </w:rPr>
      </w:pPr>
      <w:r w:rsidDel="00000000" w:rsidR="00000000" w:rsidRPr="00000000">
        <w:rPr>
          <w:rtl w:val="0"/>
        </w:rPr>
      </w:r>
    </w:p>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ind w:left="536" w:right="562" w:firstLine="0"/>
        <w:jc w:val="center"/>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b w:val="1"/>
          <w:bCs w:val="1"/>
          <w:color w:val="000000"/>
        </w:rPr>
        <w:drawing>
          <wp:inline distB="19050" distT="19050" distL="19050" distR="19050">
            <wp:extent cx="5109210" cy="287274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109210" cy="2872740"/>
                    </a:xfrm>
                    <a:prstGeom prst="rect"/>
                    <a:ln/>
                  </pic:spPr>
                </pic:pic>
              </a:graphicData>
            </a:graphic>
          </wp:inline>
        </w:drawing>
      </w:r>
      <w:r w:rsidDel="00000000" w:rsidR="00000000" w:rsidRPr="00000000">
        <w:rPr>
          <w:rFonts w:ascii="Book Antiqua" w:cs="Book Antiqua" w:eastAsia="Book Antiqua" w:hAnsi="Book Antiqua"/>
          <w:color w:val="000000"/>
          <w:rtl w:val="0"/>
        </w:rPr>
        <w:t xml:space="preserve">Gambar 1. </w:t>
      </w:r>
      <w:r w:rsidDel="00000000" w:rsidR="00000000" w:rsidRPr="00000000">
        <w:rPr>
          <w:rFonts w:ascii="Book Antiqua" w:cs="Book Antiqua" w:eastAsia="Book Antiqua" w:hAnsi="Book Antiqua"/>
          <w:i w:val="1"/>
          <w:iCs w:val="1"/>
          <w:color w:val="000000"/>
          <w:rtl w:val="0"/>
        </w:rPr>
        <w:t xml:space="preserve">Diskusi pertama</w:t>
      </w:r>
    </w:p>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ind w:left="536" w:right="562" w:firstLine="0"/>
        <w:jc w:val="center"/>
        <w:rPr>
          <w:rFonts w:ascii="Book Antiqua" w:cs="Book Antiqua" w:eastAsia="Book Antiqua" w:hAnsi="Book Antiqua"/>
          <w:i w:val="1"/>
          <w:iCs w:val="1"/>
          <w:color w:val="000000"/>
        </w:rPr>
      </w:pPr>
      <w:r w:rsidDel="00000000" w:rsidR="00000000" w:rsidRPr="00000000">
        <w:rPr>
          <w:rtl w:val="0"/>
        </w:rPr>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ind w:left="723" w:right="757" w:firstLine="0"/>
        <w:jc w:val="center"/>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i w:val="1"/>
          <w:iCs w:val="1"/>
          <w:color w:val="000000"/>
        </w:rPr>
        <w:drawing>
          <wp:inline distB="19050" distT="19050" distL="19050" distR="19050">
            <wp:extent cx="4867275" cy="3649980"/>
            <wp:effectExtent b="0" l="0" r="0" t="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867275" cy="3649980"/>
                    </a:xfrm>
                    <a:prstGeom prst="rect"/>
                    <a:ln/>
                  </pic:spPr>
                </pic:pic>
              </a:graphicData>
            </a:graphic>
          </wp:inline>
        </w:drawing>
      </w:r>
      <w:r w:rsidDel="00000000" w:rsidR="00000000" w:rsidRPr="00000000">
        <w:rPr>
          <w:rFonts w:ascii="Book Antiqua" w:cs="Book Antiqua" w:eastAsia="Book Antiqua" w:hAnsi="Book Antiqua"/>
          <w:color w:val="000000"/>
          <w:rtl w:val="0"/>
        </w:rPr>
        <w:t xml:space="preserve">Gambar 2. </w:t>
      </w:r>
      <w:r w:rsidDel="00000000" w:rsidR="00000000" w:rsidRPr="00000000">
        <w:rPr>
          <w:rFonts w:ascii="Book Antiqua" w:cs="Book Antiqua" w:eastAsia="Book Antiqua" w:hAnsi="Book Antiqua"/>
          <w:i w:val="1"/>
          <w:iCs w:val="1"/>
          <w:color w:val="000000"/>
          <w:rtl w:val="0"/>
        </w:rPr>
        <w:t xml:space="preserve">Diskusi kedua</w:t>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ind w:left="1045" w:right="1065" w:firstLine="0"/>
        <w:jc w:val="center"/>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i w:val="1"/>
          <w:iCs w:val="1"/>
          <w:color w:val="000000"/>
        </w:rPr>
        <w:drawing>
          <wp:inline distB="19050" distT="19050" distL="19050" distR="19050">
            <wp:extent cx="4466590" cy="2628265"/>
            <wp:effectExtent b="0" l="0" r="0" t="0"/>
            <wp:docPr id="2"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4466590" cy="2628265"/>
                    </a:xfrm>
                    <a:prstGeom prst="rect"/>
                    <a:ln/>
                  </pic:spPr>
                </pic:pic>
              </a:graphicData>
            </a:graphic>
          </wp:inline>
        </w:drawing>
      </w:r>
      <w:r w:rsidDel="00000000" w:rsidR="00000000" w:rsidRPr="00000000">
        <w:rPr>
          <w:rFonts w:ascii="Book Antiqua" w:cs="Book Antiqua" w:eastAsia="Book Antiqua" w:hAnsi="Book Antiqua"/>
          <w:color w:val="000000"/>
          <w:rtl w:val="0"/>
        </w:rPr>
        <w:t xml:space="preserve">Gambar 3. </w:t>
      </w:r>
      <w:r w:rsidDel="00000000" w:rsidR="00000000" w:rsidRPr="00000000">
        <w:rPr>
          <w:rFonts w:ascii="Book Antiqua" w:cs="Book Antiqua" w:eastAsia="Book Antiqua" w:hAnsi="Book Antiqua"/>
          <w:i w:val="1"/>
          <w:iCs w:val="1"/>
          <w:color w:val="000000"/>
          <w:rtl w:val="0"/>
        </w:rPr>
        <w:t xml:space="preserve">Proses pemasaran</w:t>
      </w:r>
    </w:p>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ind w:left="1045" w:right="1065" w:firstLine="0"/>
        <w:jc w:val="center"/>
        <w:rPr>
          <w:rFonts w:ascii="Book Antiqua" w:cs="Book Antiqua" w:eastAsia="Book Antiqua" w:hAnsi="Book Antiqua"/>
          <w:i w:val="1"/>
          <w:iCs w:val="1"/>
          <w:color w:val="000000"/>
        </w:rPr>
      </w:pPr>
      <w:r w:rsidDel="00000000" w:rsidR="00000000" w:rsidRPr="00000000">
        <w:rPr>
          <w:rtl w:val="0"/>
        </w:rPr>
      </w:r>
    </w:p>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ind w:left="36" w:firstLine="0"/>
        <w:jc w:val="both"/>
        <w:rPr>
          <w:rFonts w:ascii="Book Antiqua" w:cs="Book Antiqua" w:eastAsia="Book Antiqua" w:hAnsi="Book Antiqua"/>
          <w:b w:val="1"/>
          <w:bCs w:val="1"/>
          <w:color w:val="000000"/>
        </w:rPr>
      </w:pPr>
      <w:r w:rsidDel="00000000" w:rsidR="00000000" w:rsidRPr="00000000">
        <w:rPr>
          <w:rtl w:val="0"/>
        </w:rPr>
      </w:r>
    </w:p>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ind w:left="36" w:firstLine="0"/>
        <w:jc w:val="both"/>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color w:val="000000"/>
          <w:rtl w:val="0"/>
        </w:rPr>
        <w:t xml:space="preserve">KESIMPULAN  </w:t>
      </w:r>
    </w:p>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ind w:left="26" w:right="-6" w:firstLine="727"/>
        <w:jc w:val="both"/>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Inovasi yang diusung oleh program PKM-K KRIWIL!N membuktikan bahwa jajanan  tradisional seperti pentol kriwil dapat ditingkatkan daya saing ekonominya melalui intervensi pada  tiga aspek utama, yaitu pembesaran ukuran produk, penguatan identitas visual melalui logo dan stiker,  serta pembaruan kemasan food pail yang lebih higienis dan modern. Ketiga intervensi ini terbukti  efektif dalam meningkatkan nilai jual dan menarik minat beli konsumen secara instan, yang tercermin  dari habisnya seluruh stok produk dalam waktu singkat. Kendala prasarana fisik di lokasi Kampung  Jepang berhasil dimitigasi secara optimal berkat tingginya modal sosial yang dimiliki masyarakat mitra  sasaran. Sinergi antara inovasi produk dan modal sosial terbukti menjadi kombinasi yang ampuh dalam  menciptakan kegiatan usaha yang sukses dan berkesan. Disarankan agar pelaksanaan pengabdian  serupa di masa depan memperhitungkan manajemen risiko logistik dan segera mengurus legalitas  formal usaha untuk mendukung keberlanjutan mitra jangka panjang.</w:t>
      </w:r>
    </w:p>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ind w:left="26" w:right="-6" w:firstLine="727"/>
        <w:jc w:val="both"/>
        <w:rPr>
          <w:rFonts w:ascii="Book Antiqua" w:cs="Book Antiqua" w:eastAsia="Book Antiqua" w:hAnsi="Book Antiqua"/>
          <w:color w:val="000000"/>
        </w:rPr>
      </w:pPr>
      <w:r w:rsidDel="00000000" w:rsidR="00000000" w:rsidRPr="00000000">
        <w:rPr>
          <w:rtl w:val="0"/>
        </w:rPr>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ind w:left="36" w:firstLine="0"/>
        <w:jc w:val="both"/>
        <w:rPr>
          <w:rFonts w:ascii="Book Antiqua" w:cs="Book Antiqua" w:eastAsia="Book Antiqua" w:hAnsi="Book Antiqua"/>
          <w:b w:val="1"/>
          <w:bCs w:val="1"/>
          <w:color w:val="000000"/>
        </w:rPr>
      </w:pPr>
      <w:r w:rsidDel="00000000" w:rsidR="00000000" w:rsidRPr="00000000">
        <w:rPr>
          <w:rFonts w:ascii="Book Antiqua" w:cs="Book Antiqua" w:eastAsia="Book Antiqua" w:hAnsi="Book Antiqua"/>
          <w:b w:val="1"/>
          <w:bCs w:val="1"/>
          <w:color w:val="000000"/>
          <w:rtl w:val="0"/>
        </w:rPr>
        <w:t xml:space="preserve">DAFTAR PUSTAKA  </w:t>
      </w:r>
    </w:p>
    <w:p w:rsidR="00000000" w:rsidDel="00000000" w:rsidP="00000000" w:rsidRDefault="00000000" w:rsidRPr="00000000" w14:paraId="00000031">
      <w:pPr>
        <w:widowControl w:val="0"/>
        <w:pBdr>
          <w:top w:space="0" w:sz="0" w:val="nil"/>
          <w:left w:space="0" w:sz="0" w:val="nil"/>
          <w:bottom w:space="0" w:sz="0" w:val="nil"/>
          <w:right w:space="0" w:sz="0" w:val="nil"/>
          <w:between w:space="0" w:sz="0" w:val="nil"/>
        </w:pBdr>
        <w:spacing w:line="240" w:lineRule="auto"/>
        <w:ind w:left="567" w:right="99" w:hanging="567"/>
        <w:jc w:val="both"/>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i w:val="1"/>
          <w:iCs w:val="1"/>
          <w:color w:val="000000"/>
          <w:rtl w:val="0"/>
        </w:rPr>
        <w:t xml:space="preserve">Dwiningrum, S. I. A., &amp; Ramadani, M. (2021). Modal sosial dalam pemberdayaan masyarakat. Jurnal  Pendidikan dan Pemberdayaan Masyarakat, 8(1), 45-58. </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ind w:left="567" w:right="295" w:hanging="567"/>
        <w:jc w:val="both"/>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i w:val="1"/>
          <w:iCs w:val="1"/>
          <w:color w:val="000000"/>
          <w:rtl w:val="0"/>
        </w:rPr>
        <w:t xml:space="preserve">Handayani, T., &amp; Rahayu, S. (2023). Peningkatan daya saing UMKM melalui inovasi kemasan dan  digital marketing. Jurnal Pengabdian Masyarakat, 5(2), 89-102. </w:t>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ind w:left="567" w:right="232" w:hanging="567"/>
        <w:jc w:val="both"/>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i w:val="1"/>
          <w:iCs w:val="1"/>
          <w:color w:val="000000"/>
          <w:rtl w:val="0"/>
        </w:rPr>
        <w:t xml:space="preserve">Kementerian Koordinator Bidang Perekonomian Republik Indonesia. (2023). Laporan Perkembangan  UMKM dan Koperasi Tahun 2023. Jakarta: Kemenko Perekonomian. </w:t>
      </w:r>
    </w:p>
    <w:p w:rsidR="00000000" w:rsidDel="00000000" w:rsidP="00000000" w:rsidRDefault="00000000" w:rsidRPr="00000000" w14:paraId="00000034">
      <w:pPr>
        <w:widowControl w:val="0"/>
        <w:pBdr>
          <w:top w:space="0" w:sz="0" w:val="nil"/>
          <w:left w:space="0" w:sz="0" w:val="nil"/>
          <w:bottom w:space="0" w:sz="0" w:val="nil"/>
          <w:right w:space="0" w:sz="0" w:val="nil"/>
          <w:between w:space="0" w:sz="0" w:val="nil"/>
        </w:pBdr>
        <w:spacing w:line="240" w:lineRule="auto"/>
        <w:ind w:left="567" w:right="194" w:hanging="567"/>
        <w:jc w:val="both"/>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i w:val="1"/>
          <w:iCs w:val="1"/>
          <w:color w:val="000000"/>
          <w:rtl w:val="0"/>
        </w:rPr>
        <w:t xml:space="preserve">Kementerian Pariwisata dan Ekonomi Kreatif Republik Indonesia. (2021). Data Kontribusi Subsektor  Kuliner terhadap PDB Ekonomi Kreatif 2020. Jakarta: Kemenparekraf. </w:t>
      </w:r>
    </w:p>
    <w:p w:rsidR="00000000" w:rsidDel="00000000" w:rsidP="00000000" w:rsidRDefault="00000000" w:rsidRPr="00000000" w14:paraId="00000035">
      <w:pPr>
        <w:widowControl w:val="0"/>
        <w:pBdr>
          <w:top w:space="0" w:sz="0" w:val="nil"/>
          <w:left w:space="0" w:sz="0" w:val="nil"/>
          <w:bottom w:space="0" w:sz="0" w:val="nil"/>
          <w:right w:space="0" w:sz="0" w:val="nil"/>
          <w:between w:space="0" w:sz="0" w:val="nil"/>
        </w:pBdr>
        <w:spacing w:line="240" w:lineRule="auto"/>
        <w:ind w:left="567" w:right="353" w:hanging="567"/>
        <w:jc w:val="both"/>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i w:val="1"/>
          <w:iCs w:val="1"/>
          <w:color w:val="000000"/>
          <w:rtl w:val="0"/>
        </w:rPr>
        <w:t xml:space="preserve">Kementerian Perdagangan Republik Indonesia. (2024). Laporan Kinerja Kementerian Perdagangan  2024. Jakarta: Kemendag. </w:t>
      </w:r>
    </w:p>
    <w:p w:rsidR="00000000" w:rsidDel="00000000" w:rsidP="00000000" w:rsidRDefault="00000000" w:rsidRPr="00000000" w14:paraId="00000036">
      <w:pPr>
        <w:widowControl w:val="0"/>
        <w:pBdr>
          <w:top w:space="0" w:sz="0" w:val="nil"/>
          <w:left w:space="0" w:sz="0" w:val="nil"/>
          <w:bottom w:space="0" w:sz="0" w:val="nil"/>
          <w:right w:space="0" w:sz="0" w:val="nil"/>
          <w:between w:space="0" w:sz="0" w:val="nil"/>
        </w:pBdr>
        <w:spacing w:line="240" w:lineRule="auto"/>
        <w:ind w:left="567" w:right="487" w:hanging="567"/>
        <w:jc w:val="both"/>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i w:val="1"/>
          <w:iCs w:val="1"/>
          <w:color w:val="000000"/>
          <w:rtl w:val="0"/>
        </w:rPr>
        <w:t xml:space="preserve">Kotler, P., &amp; Keller, K. L. (2021). Marketing Management (16th ed.). London: Pearson Education. </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spacing w:line="240" w:lineRule="auto"/>
        <w:ind w:left="567" w:right="176" w:hanging="567"/>
        <w:jc w:val="both"/>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i w:val="1"/>
          <w:iCs w:val="1"/>
          <w:color w:val="000000"/>
          <w:rtl w:val="0"/>
        </w:rPr>
        <w:t xml:space="preserve">Prasmatiwi, N., &amp; Astuti, W. (2023). Pengaruh inovasi kemasan dan branding terhadap peningkatan  nilai jual produk UMKM kuliner tradisional. Jurnal Bisnis dan Kewirausahaan,  </w:t>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spacing w:line="240" w:lineRule="auto"/>
        <w:ind w:left="567" w:hanging="567"/>
        <w:jc w:val="both"/>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i w:val="1"/>
          <w:iCs w:val="1"/>
          <w:color w:val="000000"/>
          <w:rtl w:val="0"/>
        </w:rPr>
        <w:t xml:space="preserve">19(2), 112-125. </w:t>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spacing w:line="240" w:lineRule="auto"/>
        <w:ind w:left="567" w:right="95" w:hanging="567"/>
        <w:jc w:val="both"/>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i w:val="1"/>
          <w:iCs w:val="1"/>
          <w:color w:val="000000"/>
          <w:rtl w:val="0"/>
        </w:rPr>
        <w:t xml:space="preserve">Putnam, R. D. (2000). Bowling Alone: The Collapse and Revival of American Community. New York:  Simon &amp; Schuster. </w:t>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spacing w:line="240" w:lineRule="auto"/>
        <w:ind w:left="567" w:right="520" w:hanging="567"/>
        <w:jc w:val="both"/>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i w:val="1"/>
          <w:iCs w:val="1"/>
          <w:color w:val="000000"/>
          <w:rtl w:val="0"/>
        </w:rPr>
        <w:t xml:space="preserve">Setiawan, A., &amp; Arifin, Z. (2020). Sinergi modal sosial dan inovasi produk dalam pengembangan  UMKM di era digital. Jurnal Manajemen dan Usaha, 14(3), 78-91. </w:t>
      </w:r>
    </w:p>
    <w:p w:rsidR="00000000" w:rsidDel="00000000" w:rsidP="00000000" w:rsidRDefault="00000000" w:rsidRPr="00000000" w14:paraId="0000003B">
      <w:pPr>
        <w:widowControl w:val="0"/>
        <w:pBdr>
          <w:top w:space="0" w:sz="0" w:val="nil"/>
          <w:left w:space="0" w:sz="0" w:val="nil"/>
          <w:bottom w:space="0" w:sz="0" w:val="nil"/>
          <w:right w:space="0" w:sz="0" w:val="nil"/>
          <w:between w:space="0" w:sz="0" w:val="nil"/>
        </w:pBdr>
        <w:spacing w:line="240" w:lineRule="auto"/>
        <w:ind w:left="567" w:right="710" w:hanging="567"/>
        <w:jc w:val="both"/>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i w:val="1"/>
          <w:iCs w:val="1"/>
          <w:color w:val="000000"/>
          <w:rtl w:val="0"/>
        </w:rPr>
        <w:t xml:space="preserve">Setyawan, B., &amp; Wijaya, H. (2024). Strategi pemasaran produk kuliner tradisional di kalangan  generasi muda. Jurnal Ekonomi Kreatif, 11(1), 34-47. </w:t>
      </w:r>
    </w:p>
    <w:p w:rsidR="00000000" w:rsidDel="00000000" w:rsidP="00000000" w:rsidRDefault="00000000" w:rsidRPr="00000000" w14:paraId="0000003C">
      <w:pPr>
        <w:widowControl w:val="0"/>
        <w:pBdr>
          <w:top w:space="0" w:sz="0" w:val="nil"/>
          <w:left w:space="0" w:sz="0" w:val="nil"/>
          <w:bottom w:space="0" w:sz="0" w:val="nil"/>
          <w:right w:space="0" w:sz="0" w:val="nil"/>
          <w:between w:space="0" w:sz="0" w:val="nil"/>
        </w:pBdr>
        <w:spacing w:line="240" w:lineRule="auto"/>
        <w:ind w:left="567" w:right="71" w:hanging="567"/>
        <w:jc w:val="both"/>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i w:val="1"/>
          <w:iCs w:val="1"/>
          <w:color w:val="000000"/>
          <w:rtl w:val="0"/>
        </w:rPr>
        <w:t xml:space="preserve">Suryana, Y., &amp; Bayu, K. (2022). Kewirausahaan: Pendekatan Karakteristik Wirausaha Sukses. Jakarta:  Kencana. </w:t>
      </w:r>
    </w:p>
    <w:p w:rsidR="00000000" w:rsidDel="00000000" w:rsidP="00000000" w:rsidRDefault="00000000" w:rsidRPr="00000000" w14:paraId="0000003D">
      <w:pPr>
        <w:widowControl w:val="0"/>
        <w:pBdr>
          <w:top w:space="0" w:sz="0" w:val="nil"/>
          <w:left w:space="0" w:sz="0" w:val="nil"/>
          <w:bottom w:space="0" w:sz="0" w:val="nil"/>
          <w:right w:space="0" w:sz="0" w:val="nil"/>
          <w:between w:space="0" w:sz="0" w:val="nil"/>
        </w:pBdr>
        <w:spacing w:line="240" w:lineRule="auto"/>
        <w:ind w:left="567" w:right="550" w:hanging="567"/>
        <w:jc w:val="both"/>
        <w:rPr>
          <w:rFonts w:ascii="Book Antiqua" w:cs="Book Antiqua" w:eastAsia="Book Antiqua" w:hAnsi="Book Antiqua"/>
          <w:i w:val="1"/>
          <w:iCs w:val="1"/>
          <w:color w:val="000000"/>
        </w:rPr>
      </w:pPr>
      <w:r w:rsidDel="00000000" w:rsidR="00000000" w:rsidRPr="00000000">
        <w:rPr>
          <w:rFonts w:ascii="Book Antiqua" w:cs="Book Antiqua" w:eastAsia="Book Antiqua" w:hAnsi="Book Antiqua"/>
          <w:i w:val="1"/>
          <w:iCs w:val="1"/>
          <w:color w:val="000000"/>
          <w:rtl w:val="0"/>
        </w:rPr>
        <w:t xml:space="preserve">Telkom University. (2025). Optimalisasi packaging dan branding pada UMKM makanan ringan  tradisional. Jurnal Inovasi dan Kewirausahaan, 7(1), 22-35.</w:t>
      </w:r>
    </w:p>
    <w:sectPr>
      <w:headerReference r:id="rId10" w:type="default"/>
      <w:footerReference r:id="rId11" w:type="default"/>
      <w:pgSz w:h="16840" w:w="11900" w:orient="portrait"/>
      <w:pgMar w:bottom="1593" w:top="1406" w:left="1390" w:right="1364" w:header="426" w:footer="720"/>
      <w:pgNumType w:start="216"/>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pBdr>
        <w:top w:color="000000" w:space="1" w:sz="4" w:val="single"/>
        <w:left w:space="0" w:sz="0" w:val="nil"/>
        <w:bottom w:space="0" w:sz="0" w:val="nil"/>
        <w:right w:space="0" w:sz="0" w:val="nil"/>
        <w:between w:space="0" w:sz="0" w:val="nil"/>
      </w:pBdr>
      <w:tabs>
        <w:tab w:val="center" w:leader="none" w:pos="4320"/>
        <w:tab w:val="right" w:leader="none" w:pos="8640"/>
        <w:tab w:val="left" w:leader="none" w:pos="210"/>
        <w:tab w:val="right" w:leader="none" w:pos="9071"/>
      </w:tabs>
      <w:rPr>
        <w:rFonts w:ascii="Book Antiqua" w:cs="Book Antiqua" w:eastAsia="Book Antiqua" w:hAnsi="Book Antiqua"/>
        <w:color w:val="000000"/>
      </w:rPr>
    </w:pPr>
    <w:r w:rsidDel="00000000" w:rsidR="00000000" w:rsidRPr="00000000">
      <w:rPr>
        <w:rFonts w:ascii="Book Antiqua" w:cs="Book Antiqua" w:eastAsia="Book Antiqua" w:hAnsi="Book Antiqua"/>
        <w:color w:val="000000"/>
        <w:rtl w:val="0"/>
      </w:rPr>
      <w:t xml:space="preserve">E-ISSN: </w:t>
    </w:r>
    <w:r w:rsidDel="00000000" w:rsidR="00000000" w:rsidRPr="00000000">
      <w:rPr>
        <w:rFonts w:ascii="Book Antiqua" w:cs="Book Antiqua" w:eastAsia="Book Antiqua" w:hAnsi="Book Antiqua"/>
        <w:rtl w:val="0"/>
      </w:rPr>
      <w:t xml:space="preserve">3124</w:t>
    </w:r>
    <w:r w:rsidDel="00000000" w:rsidR="00000000" w:rsidRPr="00000000">
      <w:rPr>
        <w:rFonts w:ascii="Book Antiqua" w:cs="Book Antiqua" w:eastAsia="Book Antiqua" w:hAnsi="Book Antiqua"/>
        <w:color w:val="000000"/>
        <w:rtl w:val="0"/>
      </w:rPr>
      <w:t xml:space="preserve">-3</w:t>
    </w:r>
    <w:r w:rsidDel="00000000" w:rsidR="00000000" w:rsidRPr="00000000">
      <w:rPr>
        <w:rFonts w:ascii="Book Antiqua" w:cs="Book Antiqua" w:eastAsia="Book Antiqua" w:hAnsi="Book Antiqua"/>
        <w:rtl w:val="0"/>
      </w:rPr>
      <w:t xml:space="preserve">770</w:t>
    </w:r>
    <w:r w:rsidDel="00000000" w:rsidR="00000000" w:rsidRPr="00000000">
      <w:rPr>
        <w:rFonts w:ascii="Book Antiqua" w:cs="Book Antiqua" w:eastAsia="Book Antiqua" w:hAnsi="Book Antiqua"/>
        <w:color w:val="000000"/>
        <w:rtl w:val="0"/>
      </w:rPr>
      <w:tab/>
    </w:r>
    <w:r w:rsidDel="00000000" w:rsidR="00000000" w:rsidRPr="00000000">
      <w:rPr>
        <w:rFonts w:ascii="Book Antiqua" w:cs="Book Antiqua" w:eastAsia="Book Antiqua" w:hAnsi="Book Antiqua"/>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pBdr>
        <w:bottom w:color="000000" w:space="1" w:sz="4" w:val="single"/>
      </w:pBdr>
      <w:tabs>
        <w:tab w:val="center" w:leader="none" w:pos="4320"/>
        <w:tab w:val="right" w:leader="none" w:pos="8640"/>
        <w:tab w:val="right" w:leader="none" w:pos="9071"/>
      </w:tabs>
      <w:spacing w:line="240" w:lineRule="auto"/>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JURNAL SOCIETAS: Jurnal Pengabdian Masyarakat</w:t>
      <w:tab/>
      <w:t xml:space="preserve">   Vol. 1, Special Issue, Hal. 216-223</w:t>
    </w:r>
  </w:p>
  <w:p w:rsidR="00000000" w:rsidDel="00000000" w:rsidP="00000000" w:rsidRDefault="00000000" w:rsidRPr="00000000" w14:paraId="0000003F">
    <w:pPr>
      <w:pBdr>
        <w:bottom w:color="000000" w:space="1" w:sz="4" w:val="single"/>
      </w:pBdr>
      <w:tabs>
        <w:tab w:val="center" w:leader="none" w:pos="4320"/>
        <w:tab w:val="right" w:leader="none" w:pos="8640"/>
        <w:tab w:val="right" w:leader="none" w:pos="9071"/>
      </w:tabs>
      <w:spacing w:line="240" w:lineRule="auto"/>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Socialpreneurship dan Pemberdayaan UMKM: Kolaborasi Pengabdian kepada Masyarakat </w:t>
    </w:r>
  </w:p>
  <w:p w:rsidR="00000000" w:rsidDel="00000000" w:rsidP="00000000" w:rsidRDefault="00000000" w:rsidRPr="00000000" w14:paraId="00000040">
    <w:pPr>
      <w:pBdr>
        <w:bottom w:color="000000" w:space="1" w:sz="4" w:val="single"/>
      </w:pBdr>
      <w:tabs>
        <w:tab w:val="center" w:leader="none" w:pos="4320"/>
        <w:tab w:val="right" w:leader="none" w:pos="8640"/>
        <w:tab w:val="right" w:leader="none" w:pos="9071"/>
      </w:tabs>
      <w:spacing w:line="240" w:lineRule="auto"/>
      <w:jc w:val="both"/>
      <w:rPr>
        <w:rFonts w:ascii="Book Antiqua" w:cs="Book Antiqua" w:eastAsia="Book Antiqua" w:hAnsi="Book Antiqua"/>
        <w:sz w:val="20"/>
        <w:szCs w:val="20"/>
      </w:rPr>
    </w:pPr>
    <w:r w:rsidDel="00000000" w:rsidR="00000000" w:rsidRPr="00000000">
      <w:rPr>
        <w:rFonts w:ascii="Book Antiqua" w:cs="Book Antiqua" w:eastAsia="Book Antiqua" w:hAnsi="Book Antiqua"/>
        <w:sz w:val="20"/>
        <w:szCs w:val="20"/>
        <w:rtl w:val="0"/>
      </w:rPr>
      <w:t xml:space="preserve">di Kampung Jepang Manukan Surabaya</w:t>
    </w:r>
  </w:p>
  <w:p w:rsidR="00000000" w:rsidDel="00000000" w:rsidP="00000000" w:rsidRDefault="00000000" w:rsidRPr="00000000" w14:paraId="00000041">
    <w:pPr>
      <w:tabs>
        <w:tab w:val="center" w:leader="none" w:pos="4320"/>
        <w:tab w:val="right" w:leader="none" w:pos="8640"/>
      </w:tabs>
      <w:spacing w:line="240" w:lineRule="auto"/>
      <w:rPr>
        <w:rFonts w:ascii="Book Antiqua" w:cs="Book Antiqua" w:eastAsia="Book Antiqua" w:hAnsi="Book Antiqua"/>
      </w:rPr>
    </w:pPr>
    <w:r w:rsidDel="00000000" w:rsidR="00000000" w:rsidRPr="00000000">
      <w:rPr>
        <w:rFonts w:ascii="Book Antiqua" w:cs="Book Antiqua" w:eastAsia="Book Antiqua" w:hAnsi="Book Antiqua"/>
        <w:sz w:val="20"/>
        <w:szCs w:val="20"/>
        <w:rtl w:val="0"/>
      </w:rPr>
      <w:t xml:space="preserve">Diterima: 06/07/2026                        Direvisi: 27/07/2026</w:t>
      <w:tab/>
      <w:t xml:space="preserve">          Publikasi: 03/08/2026</w:t>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320"/>
        <w:tab w:val="right" w:leader="none" w:pos="8640"/>
      </w:tabs>
      <w:rPr>
        <w:rFonts w:ascii="Book Antiqua" w:cs="Book Antiqua" w:eastAsia="Book Antiqua" w:hAnsi="Book Antiqua"/>
        <w:sz w:val="20"/>
        <w:szCs w:val="2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d"/>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CLOfIC1pdow1iL4nayOsUuITWQ==">CgMxLjA4AHIhMUJrWkpiR0VlRFN6dk5WY3R3M1V0clI1WERoRGs5ejhj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