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spacing w:after="360" w:lineRule="auto"/>
        <w:rPr>
          <w:rFonts w:ascii="Book Antiqua" w:cs="Book Antiqua" w:eastAsia="Book Antiqua" w:hAnsi="Book Antiqua"/>
          <w:b w:val="0"/>
          <w:bCs w:val="0"/>
          <w:sz w:val="28"/>
          <w:szCs w:val="28"/>
        </w:rPr>
      </w:pPr>
      <w:bookmarkStart w:colFirst="0" w:colLast="0" w:name="_heading=h.3eh21xdzhuwz" w:id="0"/>
      <w:bookmarkEnd w:id="0"/>
      <w:r w:rsidDel="00000000" w:rsidR="00000000" w:rsidRPr="00000000">
        <w:rPr>
          <w:rtl w:val="0"/>
        </w:rPr>
      </w:r>
    </w:p>
    <w:p w:rsidR="00000000" w:rsidDel="00000000" w:rsidP="00000000" w:rsidRDefault="00000000" w:rsidRPr="00000000" w14:paraId="00000002">
      <w:pPr>
        <w:jc w:val="center"/>
        <w:rPr>
          <w:rFonts w:ascii="Book Antiqua" w:cs="Book Antiqua" w:eastAsia="Book Antiqua" w:hAnsi="Book Antiqua"/>
          <w:sz w:val="28"/>
          <w:szCs w:val="28"/>
        </w:rPr>
      </w:pPr>
      <w:bookmarkStart w:colFirst="0" w:colLast="0" w:name="_heading=h.pwspxz52j8jw" w:id="1"/>
      <w:bookmarkEnd w:id="1"/>
      <w:r w:rsidDel="00000000" w:rsidR="00000000" w:rsidRPr="00000000">
        <w:rPr>
          <w:rFonts w:ascii="Book Antiqua" w:cs="Book Antiqua" w:eastAsia="Book Antiqua" w:hAnsi="Book Antiqua"/>
          <w:sz w:val="28"/>
          <w:szCs w:val="28"/>
          <w:rtl w:val="0"/>
        </w:rPr>
        <w:t xml:space="preserve">PENGUATAN KAPASITAS GURU MELALUI PELATIHAN MANAJEMEN PEMBELAJARAN INKLUSIF BAGI MURID BERKEBUTUHAN KHUSUS DI TK AZ-ZAHRAH </w:t>
      </w:r>
    </w:p>
    <w:p w:rsidR="00000000" w:rsidDel="00000000" w:rsidP="00000000" w:rsidRDefault="00000000" w:rsidRPr="00000000" w14:paraId="00000003">
      <w:pPr>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rtl w:val="0"/>
        </w:rPr>
        <w:t xml:space="preserve">Rachmawati Novaria *</w:t>
      </w:r>
      <w:r w:rsidDel="00000000" w:rsidR="00000000" w:rsidRPr="00000000">
        <w:rPr>
          <w:rFonts w:ascii="Book Antiqua" w:cs="Book Antiqua" w:eastAsia="Book Antiqua" w:hAnsi="Book Antiqua"/>
          <w:b w:val="1"/>
          <w:bCs w:val="1"/>
          <w:vertAlign w:val="superscript"/>
          <w:rtl w:val="0"/>
        </w:rPr>
        <w:t xml:space="preserve">1</w:t>
      </w:r>
      <w:r w:rsidDel="00000000" w:rsidR="00000000" w:rsidRPr="00000000">
        <w:rPr>
          <w:rFonts w:ascii="Book Antiqua" w:cs="Book Antiqua" w:eastAsia="Book Antiqua" w:hAnsi="Book Antiqua"/>
          <w:b w:val="1"/>
          <w:bCs w:val="1"/>
          <w:rtl w:val="0"/>
        </w:rPr>
        <w:t xml:space="preserve">, Fransisca Benedicta Avira Citra Paramita</w:t>
      </w:r>
      <w:r w:rsidDel="00000000" w:rsidR="00000000" w:rsidRPr="00000000">
        <w:rPr>
          <w:rFonts w:ascii="Book Antiqua" w:cs="Book Antiqua" w:eastAsia="Book Antiqua" w:hAnsi="Book Antiqua"/>
          <w:b w:val="1"/>
          <w:bCs w:val="1"/>
          <w:vertAlign w:val="superscript"/>
          <w:rtl w:val="0"/>
        </w:rPr>
        <w:t xml:space="preserve">2</w:t>
      </w:r>
      <w:r w:rsidDel="00000000" w:rsidR="00000000" w:rsidRPr="00000000">
        <w:rPr>
          <w:rtl w:val="0"/>
        </w:rPr>
      </w:r>
    </w:p>
    <w:p w:rsidR="00000000" w:rsidDel="00000000" w:rsidP="00000000" w:rsidRDefault="00000000" w:rsidRPr="00000000" w14:paraId="00000004">
      <w:pPr>
        <w:jc w:val="center"/>
        <w:rPr>
          <w:rFonts w:ascii="Book Antiqua" w:cs="Book Antiqua" w:eastAsia="Book Antiqua" w:hAnsi="Book Antiqua"/>
        </w:rPr>
      </w:pPr>
      <w:r w:rsidDel="00000000" w:rsidR="00000000" w:rsidRPr="00000000">
        <w:rPr>
          <w:rFonts w:ascii="Book Antiqua" w:cs="Book Antiqua" w:eastAsia="Book Antiqua" w:hAnsi="Book Antiqua"/>
          <w:vertAlign w:val="superscript"/>
          <w:rtl w:val="0"/>
        </w:rPr>
        <w:t xml:space="preserve">1,2,3</w:t>
      </w:r>
      <w:r w:rsidDel="00000000" w:rsidR="00000000" w:rsidRPr="00000000">
        <w:rPr>
          <w:rFonts w:ascii="Book Antiqua" w:cs="Book Antiqua" w:eastAsia="Book Antiqua" w:hAnsi="Book Antiqua"/>
          <w:rtl w:val="0"/>
        </w:rPr>
        <w:t xml:space="preserve">Fakultas Ilmu Sosial dan Ilmu Politik, Universitas 17 Agustus 1945 Surabaya</w:t>
      </w:r>
    </w:p>
    <w:p w:rsidR="00000000" w:rsidDel="00000000" w:rsidP="00000000" w:rsidRDefault="00000000" w:rsidRPr="00000000" w14:paraId="00000005">
      <w:pPr>
        <w:jc w:val="center"/>
        <w:rPr>
          <w:rFonts w:ascii="Book Antiqua" w:cs="Book Antiqua" w:eastAsia="Book Antiqua" w:hAnsi="Book Antiqua"/>
        </w:rPr>
      </w:pPr>
      <w:r w:rsidDel="00000000" w:rsidR="00000000" w:rsidRPr="00000000">
        <w:rPr>
          <w:rFonts w:ascii="Book Antiqua" w:cs="Book Antiqua" w:eastAsia="Book Antiqua" w:hAnsi="Book Antiqua"/>
          <w:rtl w:val="0"/>
        </w:rPr>
        <w:t xml:space="preserve">*e-mail korespondensi: </w:t>
      </w:r>
      <w:hyperlink r:id="rId7">
        <w:r w:rsidDel="00000000" w:rsidR="00000000" w:rsidRPr="00000000">
          <w:rPr>
            <w:color w:val="0000ff"/>
            <w:u w:val="single"/>
            <w:rtl w:val="0"/>
          </w:rPr>
          <w:t xml:space="preserve">citraparamita@untag-sby.ac.id</w:t>
        </w:r>
      </w:hyperlink>
      <w:r w:rsidDel="00000000" w:rsidR="00000000" w:rsidRPr="00000000">
        <w:rPr>
          <w:rFonts w:ascii="Book Antiqua" w:cs="Book Antiqua" w:eastAsia="Book Antiqua" w:hAnsi="Book Antiqua"/>
          <w:vertAlign w:val="superscript"/>
          <w:rtl w:val="0"/>
        </w:rPr>
        <w:t xml:space="preserve">1</w:t>
      </w:r>
      <w:r w:rsidDel="00000000" w:rsidR="00000000" w:rsidRPr="00000000">
        <w:rPr>
          <w:rtl w:val="0"/>
        </w:rPr>
      </w:r>
    </w:p>
    <w:p w:rsidR="00000000" w:rsidDel="00000000" w:rsidP="00000000" w:rsidRDefault="00000000" w:rsidRPr="00000000" w14:paraId="00000006">
      <w:pPr>
        <w:rPr>
          <w:rFonts w:ascii="Book Antiqua" w:cs="Book Antiqua" w:eastAsia="Book Antiqua" w:hAnsi="Book Antiqua"/>
          <w:b w:val="1"/>
          <w:bCs w:val="1"/>
        </w:rPr>
      </w:pPr>
      <w:r w:rsidDel="00000000" w:rsidR="00000000" w:rsidRPr="00000000">
        <w:rPr>
          <w:rtl w:val="0"/>
        </w:rPr>
      </w:r>
    </w:p>
    <w:p w:rsidR="00000000" w:rsidDel="00000000" w:rsidP="00000000" w:rsidRDefault="00000000" w:rsidRPr="00000000" w14:paraId="00000007">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i w:val="1"/>
          <w:iCs w:val="1"/>
          <w:rtl w:val="0"/>
        </w:rPr>
        <w:t xml:space="preserve">Abstrak</w:t>
      </w:r>
      <w:r w:rsidDel="00000000" w:rsidR="00000000" w:rsidRPr="00000000">
        <w:rPr>
          <w:rtl w:val="0"/>
        </w:rPr>
      </w:r>
    </w:p>
    <w:p w:rsidR="00000000" w:rsidDel="00000000" w:rsidP="00000000" w:rsidRDefault="00000000" w:rsidRPr="00000000" w14:paraId="00000008">
      <w:pPr>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Partisipasi terbesar dalam menggerakan roda ekonomi nasional jika dilihat dari sudut kuantitas pelaku yang terlibat dilakukan oleh pelaku usaha dalam kategori Mikro, Kecil dan Menengah (MKM) yang jumlahnya mencapai lebih dari sembilan puluh persen. Meskipun secara kuantitas Partisipasi yang disumbangkan pelaku usaha MKM ternyata tidak berbanding lurus dengan sumbangannya terhadap PDRB, sumbangan terhadap PDRB lebih banyak disumbang oleh pelaku usaha besar yang jumlahnya jauh berada dibawah pelaku usaha MKM. Kondisi ini artinya bahwa para pelaku usaha MKM perlu mendapatkan perhatian dari pemangku kekuasaan dan kita semua yang mempunyai kepedulian terhadap pelaku usaha mikro, kecil dan menengah untuk mendorong dan dan berupaya meningkatkan kualitas partisipasi mereka minimalnya mendekati partisipasi yang dilakukan oleh para pelaku usaha besar. Peningkatan kualitas partisipasi pelaku usaha mikro dan kecil ini juga berarti meningkatkan kualitas pembangunan pada semua sektor kehidupan yang tengah dilakukan bangsa ini.</w:t>
      </w:r>
    </w:p>
    <w:p w:rsidR="00000000" w:rsidDel="00000000" w:rsidP="00000000" w:rsidRDefault="00000000" w:rsidRPr="00000000" w14:paraId="00000009">
      <w:pPr>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Banyak upaya yang dapat dilakukan untuk meningkatan kualitas partisipasi dalam pembangunan para pelaku usaha mikro dan kecil salah satunya dapat dilakukan melalui kegiatan pelatihan dan pendampingan, karena disinyalir pengetahuan dan keterampilan para pelaku usaha dalam tanda petik masih sangat rendah dibandingkan dengan pengetahuan dan keterampilan yang diperlukan untuk menjalankan sebuah usaha.</w:t>
      </w:r>
    </w:p>
    <w:p w:rsidR="00000000" w:rsidDel="00000000" w:rsidP="00000000" w:rsidRDefault="00000000" w:rsidRPr="00000000" w14:paraId="0000000A">
      <w:pPr>
        <w:rPr>
          <w:rFonts w:ascii="Book Antiqua" w:cs="Book Antiqua" w:eastAsia="Book Antiqua" w:hAnsi="Book Antiqua"/>
          <w:i w:val="1"/>
          <w:iCs w:val="1"/>
        </w:rPr>
      </w:pPr>
      <w:r w:rsidDel="00000000" w:rsidR="00000000" w:rsidRPr="00000000">
        <w:rPr>
          <w:rFonts w:ascii="Book Antiqua" w:cs="Book Antiqua" w:eastAsia="Book Antiqua" w:hAnsi="Book Antiqua"/>
          <w:b w:val="1"/>
          <w:bCs w:val="1"/>
          <w:i w:val="1"/>
          <w:iCs w:val="1"/>
          <w:rtl w:val="0"/>
        </w:rPr>
        <w:t xml:space="preserve">Kata kunci</w:t>
      </w:r>
      <w:r w:rsidDel="00000000" w:rsidR="00000000" w:rsidRPr="00000000">
        <w:rPr>
          <w:rFonts w:ascii="Book Antiqua" w:cs="Book Antiqua" w:eastAsia="Book Antiqua" w:hAnsi="Book Antiqua"/>
          <w:i w:val="1"/>
          <w:iCs w:val="1"/>
          <w:rtl w:val="0"/>
        </w:rPr>
        <w:t xml:space="preserve">: </w:t>
      </w:r>
      <w:r w:rsidDel="00000000" w:rsidR="00000000" w:rsidRPr="00000000">
        <w:rPr>
          <w:i w:val="1"/>
          <w:iCs w:val="1"/>
          <w:rtl w:val="0"/>
        </w:rPr>
        <w:t xml:space="preserve">Pelatihan dan pendampingan;Manajemen Komunikasi;Pembelajaran Inklusif</w:t>
      </w:r>
      <w:r w:rsidDel="00000000" w:rsidR="00000000" w:rsidRPr="00000000">
        <w:rPr>
          <w:rFonts w:ascii="Book Antiqua" w:cs="Book Antiqua" w:eastAsia="Book Antiqua" w:hAnsi="Book Antiqua"/>
          <w:i w:val="1"/>
          <w:iCs w:val="1"/>
          <w:rtl w:val="0"/>
        </w:rPr>
        <w:br w:type="textWrapping"/>
      </w:r>
    </w:p>
    <w:p w:rsidR="00000000" w:rsidDel="00000000" w:rsidP="00000000" w:rsidRDefault="00000000" w:rsidRPr="00000000" w14:paraId="0000000B">
      <w:pP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i w:val="1"/>
          <w:iCs w:val="1"/>
          <w:rtl w:val="0"/>
        </w:rPr>
        <w:t xml:space="preserve">Abstrak</w:t>
      </w:r>
      <w:r w:rsidDel="00000000" w:rsidR="00000000" w:rsidRPr="00000000">
        <w:rPr>
          <w:rtl w:val="0"/>
        </w:rPr>
      </w:r>
    </w:p>
    <w:p w:rsidR="00000000" w:rsidDel="00000000" w:rsidP="00000000" w:rsidRDefault="00000000" w:rsidRPr="00000000" w14:paraId="0000000C">
      <w:pPr>
        <w:jc w:val="both"/>
        <w:rPr>
          <w:rFonts w:ascii="Book Antiqua" w:cs="Book Antiqua" w:eastAsia="Book Antiqua" w:hAnsi="Book Antiqua"/>
          <w:i w:val="1"/>
          <w:iCs w:val="1"/>
        </w:rPr>
      </w:pPr>
      <w:r w:rsidDel="00000000" w:rsidR="00000000" w:rsidRPr="00000000">
        <w:rPr>
          <w:rFonts w:ascii="Book Antiqua" w:cs="Book Antiqua" w:eastAsia="Book Antiqua" w:hAnsi="Book Antiqua"/>
          <w:i w:val="1"/>
          <w:iCs w:val="1"/>
          <w:color w:val="000000"/>
          <w:rtl w:val="0"/>
        </w:rPr>
        <w:t xml:space="preserve">The biggest participation in driving the national economy, seen from the perspective of the number of actors involved, is carried out by business actors in the Micro, Small, and Medium Enterprises (MSMEs) category, which make up more than ninety percent. Although in terms of quantity the participation contributed by MSME actors is not proportional to their contribution to the GRDP, the contribution to the GRDP is mostly made by large business actors, whose numbers are far below those of MSMEs. This means that MSME actors need attention from authorities and all of us who care about micro, small, and medium enterprises, to encourage and strive to improve the quality of their participation, at least approaching the level of participation carried out by large business actors. Improving the quality of participation of micro and small business actors also means improving the quality of development in all sectors of life that the nation is currently engaged in. There are many efforts that can be made to enhance the quality of participation in development by micro and small business actors, one of which can be done through training and mentoring activities, because it is suspected that the knowledge and skills of business actors are still very low compared to the knowledge and skills needed to run a business.</w:t>
      </w:r>
      <w:r w:rsidDel="00000000" w:rsidR="00000000" w:rsidRPr="00000000">
        <w:rPr>
          <w:rtl w:val="0"/>
        </w:rPr>
      </w:r>
    </w:p>
    <w:p w:rsidR="00000000" w:rsidDel="00000000" w:rsidP="00000000" w:rsidRDefault="00000000" w:rsidRPr="00000000" w14:paraId="0000000D">
      <w:pPr>
        <w:rPr>
          <w:rFonts w:ascii="Book Antiqua" w:cs="Book Antiqua" w:eastAsia="Book Antiqua" w:hAnsi="Book Antiqua"/>
          <w:i w:val="1"/>
          <w:iCs w:val="1"/>
        </w:rPr>
      </w:pPr>
      <w:r w:rsidDel="00000000" w:rsidR="00000000" w:rsidRPr="00000000">
        <w:rPr>
          <w:rFonts w:ascii="Book Antiqua" w:cs="Book Antiqua" w:eastAsia="Book Antiqua" w:hAnsi="Book Antiqua"/>
          <w:b w:val="1"/>
          <w:bCs w:val="1"/>
          <w:i w:val="1"/>
          <w:iCs w:val="1"/>
          <w:rtl w:val="0"/>
        </w:rPr>
        <w:t xml:space="preserve">Keywords</w:t>
      </w:r>
      <w:r w:rsidDel="00000000" w:rsidR="00000000" w:rsidRPr="00000000">
        <w:rPr>
          <w:rFonts w:ascii="Book Antiqua" w:cs="Book Antiqua" w:eastAsia="Book Antiqua" w:hAnsi="Book Antiqua"/>
          <w:i w:val="1"/>
          <w:iCs w:val="1"/>
          <w:rtl w:val="0"/>
        </w:rPr>
        <w:t xml:space="preserve">:</w:t>
      </w:r>
      <w:r w:rsidDel="00000000" w:rsidR="00000000" w:rsidRPr="00000000">
        <w:rPr>
          <w:rFonts w:ascii="Book Antiqua" w:cs="Book Antiqua" w:eastAsia="Book Antiqua" w:hAnsi="Book Antiqua"/>
          <w:b w:val="1"/>
          <w:bCs w:val="1"/>
          <w:i w:val="1"/>
          <w:iCs w:val="1"/>
          <w:rtl w:val="0"/>
        </w:rPr>
        <w:t xml:space="preserve"> </w:t>
      </w:r>
      <w:r w:rsidDel="00000000" w:rsidR="00000000" w:rsidRPr="00000000">
        <w:rPr>
          <w:rFonts w:ascii="Book Antiqua" w:cs="Book Antiqua" w:eastAsia="Book Antiqua" w:hAnsi="Book Antiqua"/>
          <w:i w:val="1"/>
          <w:iCs w:val="1"/>
          <w:rtl w:val="0"/>
        </w:rPr>
        <w:t xml:space="preserve">Training and mentoring; Communication Management; Inclusive Learning</w:t>
      </w:r>
    </w:p>
    <w:p w:rsidR="00000000" w:rsidDel="00000000" w:rsidP="00000000" w:rsidRDefault="00000000" w:rsidRPr="00000000" w14:paraId="0000000E">
      <w:pPr>
        <w:pStyle w:val="Heading1"/>
        <w:rPr>
          <w:rFonts w:ascii="Book Antiqua" w:cs="Book Antiqua" w:eastAsia="Book Antiqua" w:hAnsi="Book Antiqua"/>
        </w:rPr>
      </w:pPr>
      <w:r w:rsidDel="00000000" w:rsidR="00000000" w:rsidRPr="00000000">
        <w:rPr>
          <w:rFonts w:ascii="Book Antiqua" w:cs="Book Antiqua" w:eastAsia="Book Antiqua" w:hAnsi="Book Antiqua"/>
          <w:rtl w:val="0"/>
        </w:rPr>
        <w:t xml:space="preserve">PENDAHULUAN </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20" w:lineRule="auto"/>
        <w:ind w:firstLine="720"/>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Pendidikan inklusif merupakan pendekatan pendidikan yang menempatkan setiap peserta didik sebagai subjek yang berhak memperoleh layanan belajar yang bermutu, setara, dan sesuai dengan kebutuhan perkembangannya. Dalam kerangka ini, inklusi tidak hanya dimaknai sebagai keberadaan anak berkebutuhan khusus di sekolah reguler, tetapi juga sebagai upaya sistematis untuk memastikan bahwa proses pembelajaran, dukungan belajar, dan lingkungan sekolah benar-benar mampu mengakomodasi keberagaman peserta didik. UNESCO menegaskan bahwa pendidikan inklusif harus menjangkau seluruh anak tanpa diskriminasi berdasarkan latar belakang maupun kemampuan, sehingga sekolah dituntut untuk menyesuaikan sistemnya, bukan justru menuntut peserta didik menyesuaikan diri secara sepihak (UNESCO, 2020). Dalam konteks Indonesia, arah kebijakan tersebut juga diperkuat melalui regulasi tentang akomodasi yang layak bagi peserta didik penyandang disabilitas pada satuan pendidikan, termasuk pada jenjang pendidikan anak usia dini (Kementerian Pendidikan, Kebudayaan, Riset, dan Teknologi Republik Indonesia, 2023).</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20" w:lineRule="auto"/>
        <w:ind w:firstLine="720"/>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Pada jenjang pendidikan anak usia dini, pembelajaran inklusif menuntut kapasitas guru yang tidak hanya kuat secara pedagogis, tetapi juga terampil secara manajerial. Guru perlu mampu merencanakan pembelajaran, mengorganisasikan aktivitas kelas, memilih strategi yang sesuai, menggunakan media pendukung, serta melakukan evaluasi yang adaptif terhadap kebutuhan individual anak. Pendidikan guru yang berorientasi inklusif menjadi faktor penting karena keberhasilan layanan inklusi sangat ditentukan oleh kemampuan guru dalam memahami keragaman kebutuhan belajar dan menerjemahkannya ke dalam praktik pembelajaran sehari-hari (Ackers, 2018). Penelitian juga menunjukkan bahwa pemahaman guru tentang pendidikan inklusif berhubungan dengan efikasi mereka dalam menyelenggarakan pembelajaran inklusif, khususnya pada konteks pendidikan anak usia dini (Singogo &amp; Muzata, 2023). Selain itu, efikasi guru untuk praktik inklusif juga berkaitan positif dengan gaya mengajar yang lebih terstruktur dan suportif, sehingga semakin menegaskan pentingnya penguatan kapasitas guru melalui pelatihan yang sistematis (Passanisi et al., 2022).</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lineRule="auto"/>
        <w:ind w:firstLine="720"/>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Kebutuhan tersebut relevan dengan kondisi TK AZ-Zahrah sebagai lokasi pengabdian. Berdasarkan naskah awal yang Anda unggah, TK AZ-Zahrah merupakan sekolah inklusi yang melayani murid dengan karakteristik beragam. Dalam naskah tersebut dijelaskan bahwa sekolah ini mendidik 19 murid yang terbagi ke dalam 3 kelas dengan 3 guru, dengan komposisi peserta didik yang meliputi anak reguler dan anak berkebutuhan khusus, antara lain dengan karakteristik ADHD, ASD, dan GDD. Kondisi tersebut menunjukkan bahwa guru menghadapi situasi pembelajaran yang heterogen, sehingga memerlukan kemampuan untuk mengelola proses belajar secara fleksibel, personal, dan terarah sesuai kebutuhan masing-masing anak (Putra et al., n.d.).</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20" w:lineRule="auto"/>
        <w:ind w:firstLine="720"/>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Naskah awal tersebut juga menunjukkan bahwa guru-guru di TK AZ-Zahrah telah menerapkan sejumlah strategi adaptif dalam pembelajaran, seperti penggunaan bahasa yang sederhana, alat bantu visual, pemberian pujian atau reward, serta penyesuaian metode berdasarkan karakteristik anak. Praktik-praktik ini memperlihatkan bahwa guru telah memiliki pengalaman praktis dalam menangani keberagaman peserta didik. Namun demikian, masih ditemukan sejumlah tantangan, antara lain kesulitan dalam mengidentifikasi kebutuhan spesifik anak, keterbatasan alat bantu pembelajaran, perlunya pengulangan instruksi secara terus-menerus, dan belum optimalnya komunikasi dengan orang tua. Dalam perspektif pengabdian masyarakat, situasi ini menunjukkan bahwa kebutuhan utama bukan hanya pada pelaksanaan pembelajaran sehari-hari, tetapi juga pada penguatan kapasitas guru dalam mengelola pembelajaran inklusif secara lebih sistematis dan berkelanjutan (Putra et al., n.d.).</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lineRule="auto"/>
        <w:ind w:firstLine="720"/>
        <w:jc w:val="both"/>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Dari sudut pandang manajemen pembelajaran, penguatan kapasitas guru menjadi penting karena pembelajaran inklusif tidak cukup dijalankan secara intuitif, tetapi perlu ditopang oleh perencanaan, pengorganisasian, pelaksanaan, dan evaluasi yang terstruktur. Penelitian Fitriani et al. (2022) menunjukkan bahwa mutu layanan pendidikan inklusi sangat dipengaruhi oleh bagaimana sekolah dan guru mengelola aspek perencanaan, pengorganisasian, pelaksanaan, pengawasan, hambatan, dan solusi dalam pembelajaran bagi peserta didik berkebutuhan khusus. Oleh sebab itu, kegiatan pengabdian kepada masyarakat ini dirancang dalam bentuk pelatihan manajemen pembelajaran inklusif bagi guru TK AZ-Zahrah. Pelatihan ini diharapkan dapat memperkuat kemampuan guru dalam menyusun pembelajaran yang adaptif, mengelola kelas inklusif secara efektif, serta meningkatkan kualitas layanan belajar bagi murid berkebutuhan khusus. Dengan demikian, pengabdian ini tidak hanya berorientasi pada peningkatan kompetensi guru, tetapi juga pada penguatan mutu pendidikan inklusif di lingkungan TK AZ-Zahrah secara lebih luas., </w:t>
      </w:r>
    </w:p>
    <w:p w:rsidR="00000000" w:rsidDel="00000000" w:rsidP="00000000" w:rsidRDefault="00000000" w:rsidRPr="00000000" w14:paraId="00000014">
      <w:pPr>
        <w:pStyle w:val="Heading1"/>
        <w:rPr>
          <w:rFonts w:ascii="Book Antiqua" w:cs="Book Antiqua" w:eastAsia="Book Antiqua" w:hAnsi="Book Antiqua"/>
        </w:rPr>
      </w:pPr>
      <w:r w:rsidDel="00000000" w:rsidR="00000000" w:rsidRPr="00000000">
        <w:rPr>
          <w:rFonts w:ascii="Book Antiqua" w:cs="Book Antiqua" w:eastAsia="Book Antiqua" w:hAnsi="Book Antiqua"/>
          <w:rtl w:val="0"/>
        </w:rPr>
        <w:t xml:space="preserve">METODE </w:t>
      </w:r>
    </w:p>
    <w:p w:rsidR="00000000" w:rsidDel="00000000" w:rsidP="00000000" w:rsidRDefault="00000000" w:rsidRPr="00000000" w14:paraId="00000015">
      <w:pPr>
        <w:pStyle w:val="Heading1"/>
        <w:spacing w:after="0" w:before="0" w:lineRule="auto"/>
        <w:ind w:firstLine="426"/>
        <w:jc w:val="both"/>
        <w:rPr>
          <w:rFonts w:ascii="Book Antiqua" w:cs="Book Antiqua" w:eastAsia="Book Antiqua" w:hAnsi="Book Antiqua"/>
        </w:rPr>
      </w:pPr>
      <w:r w:rsidDel="00000000" w:rsidR="00000000" w:rsidRPr="00000000">
        <w:rPr>
          <w:rFonts w:ascii="Book Antiqua" w:cs="Book Antiqua" w:eastAsia="Book Antiqua" w:hAnsi="Book Antiqua"/>
          <w:b w:val="0"/>
          <w:bCs w:val="0"/>
          <w:color w:val="000000"/>
          <w:rtl w:val="0"/>
        </w:rPr>
        <w:t xml:space="preserve">Program pengabdian kepada masyarakat ini dilaksanakan dengan pendekatan partisipatif dan pelatihan aplikatif, yang menempatkan guru sebagai mitra utama dalam proses penguatan kapasitas. Pendekatan partisipatif dipilih karena permasalahan pembelajaran inklusif di TK AZ-Zahrah tidak dapat diselesaikan hanya melalui pemberian materi secara satu arah, melainkan memerlukan keterlibatan aktif guru dalam mengidentifikasi kebutuhan, mendiskusikan kendala, mencoba strategi pembelajaran, dan merefleksikan praktik yang telah dilakukan. Sementara itu, pelatihan aplikatif digunakan agar materi yang diberikan tidak berhenti pada tataran konseptual, tetapi dapat langsung diimplementasikan dalam pengelolaan pembelajaran sehari-hari di kelas.</w:t>
      </w:r>
      <w:r w:rsidDel="00000000" w:rsidR="00000000" w:rsidRPr="00000000">
        <w:rPr>
          <w:rtl w:val="0"/>
        </w:rPr>
      </w:r>
    </w:p>
    <w:p w:rsidR="00000000" w:rsidDel="00000000" w:rsidP="00000000" w:rsidRDefault="00000000" w:rsidRPr="00000000" w14:paraId="00000016">
      <w:pPr>
        <w:pStyle w:val="Heading1"/>
        <w:spacing w:after="0" w:before="0" w:lineRule="auto"/>
        <w:ind w:firstLine="426"/>
        <w:jc w:val="both"/>
        <w:rPr>
          <w:rFonts w:ascii="Book Antiqua" w:cs="Book Antiqua" w:eastAsia="Book Antiqua" w:hAnsi="Book Antiqua"/>
        </w:rPr>
      </w:pPr>
      <w:r w:rsidDel="00000000" w:rsidR="00000000" w:rsidRPr="00000000">
        <w:rPr>
          <w:rFonts w:ascii="Book Antiqua" w:cs="Book Antiqua" w:eastAsia="Book Antiqua" w:hAnsi="Book Antiqua"/>
          <w:b w:val="0"/>
          <w:bCs w:val="0"/>
          <w:color w:val="000000"/>
          <w:rtl w:val="0"/>
        </w:rPr>
        <w:t xml:space="preserve">Sasaran kegiatan ini adalah guru TK AZ-Zahrah yang terlibat langsung dalam pembelajaran murid berkebutuhan khusus. Berdasarkan data awal, mitra terdiri atas 3 guru yang menangani 3 kelas dengan karakteristik peserta didik yang beragam. Kondisi ini menjadi dasar bahwa penguatan kapasitas guru perlu diarahkan pada kemampuan manajemen pembelajaran inklusif yang meliputi perencanaan, pengorganisasian, pelaksanaan, dan evaluasi pembelajaran yang adaptif. </w:t>
      </w:r>
      <w:r w:rsidDel="00000000" w:rsidR="00000000" w:rsidRPr="00000000">
        <w:rPr>
          <w:rtl w:val="0"/>
        </w:rPr>
      </w:r>
    </w:p>
    <w:p w:rsidR="00000000" w:rsidDel="00000000" w:rsidP="00000000" w:rsidRDefault="00000000" w:rsidRPr="00000000" w14:paraId="00000017">
      <w:pPr>
        <w:pStyle w:val="Heading1"/>
        <w:spacing w:after="0" w:before="0" w:lineRule="auto"/>
        <w:ind w:firstLine="426"/>
        <w:jc w:val="both"/>
        <w:rPr>
          <w:rFonts w:ascii="Book Antiqua" w:cs="Book Antiqua" w:eastAsia="Book Antiqua" w:hAnsi="Book Antiqua"/>
          <w:b w:val="0"/>
          <w:bCs w:val="0"/>
          <w:color w:val="000000"/>
        </w:rPr>
      </w:pPr>
      <w:r w:rsidDel="00000000" w:rsidR="00000000" w:rsidRPr="00000000">
        <w:rPr>
          <w:rFonts w:ascii="Book Antiqua" w:cs="Book Antiqua" w:eastAsia="Book Antiqua" w:hAnsi="Book Antiqua"/>
          <w:b w:val="0"/>
          <w:bCs w:val="0"/>
          <w:color w:val="000000"/>
          <w:rtl w:val="0"/>
        </w:rPr>
        <w:tab/>
        <w:t xml:space="preserve">Pelaksanaan program dilakukan dalam beberapa tahapan. Tahap pertama adalah identifikasi kebutuhan dan koordinasi awal. Pada tahap ini, tim pengabdian melakukan komunikasi dengan pihak sekolah untuk memetakan kondisi pembelajaran inklusif yang sedang berjalan, mengenali karakteristik peserta didik, serta mengidentifikasi kendala utama yang dihadapi guru. Pemetaan kebutuhan ini mengacu pada temuan awal bahwa guru telah menggunakan bahasa sederhana, alat bantu visual, dan pemberian reward, tetapi masih menghadapi hambatan dalam mengidentifikasi kebutuhan spesifik anak, mengelola pengulangan instruksi, serta membangun komunikasi yang efektif dengan orang tua. Hasil identifikasi ini kemudian digunakan sebagai dasar penyusunan materi pelatihan. </w:t>
      </w:r>
    </w:p>
    <w:p w:rsidR="00000000" w:rsidDel="00000000" w:rsidP="00000000" w:rsidRDefault="00000000" w:rsidRPr="00000000" w14:paraId="00000018">
      <w:pPr>
        <w:pStyle w:val="Heading1"/>
        <w:spacing w:after="0" w:before="0" w:lineRule="auto"/>
        <w:ind w:firstLine="426"/>
        <w:jc w:val="both"/>
        <w:rPr>
          <w:rFonts w:ascii="Book Antiqua" w:cs="Book Antiqua" w:eastAsia="Book Antiqua" w:hAnsi="Book Antiqua"/>
          <w:b w:val="0"/>
          <w:bCs w:val="0"/>
          <w:color w:val="000000"/>
        </w:rPr>
      </w:pPr>
      <w:r w:rsidDel="00000000" w:rsidR="00000000" w:rsidRPr="00000000">
        <w:rPr>
          <w:rFonts w:ascii="Book Antiqua" w:cs="Book Antiqua" w:eastAsia="Book Antiqua" w:hAnsi="Book Antiqua"/>
          <w:b w:val="0"/>
          <w:bCs w:val="0"/>
          <w:color w:val="000000"/>
          <w:rtl w:val="0"/>
        </w:rPr>
        <w:tab/>
        <w:t xml:space="preserve">Tahap kedua adalah penyusunan materi dan perangkat pelatihan. Materi pelatihan difokuskan pada konsep dasar manajemen pembelajaran inklusif, yang mencakup: perencanaan pembelajaran adaptif, pengorganisasian kelas inklusif, pemilihan metode dan media pembelajaran yang sesuai, strategi komunikasi guru dengan anak berkebutuhan khusus, serta evaluasi perkembangan belajar anak. Selain itu, disusun pula perangkat sederhana berupa lembar identifikasi kebutuhan belajar anak, format perencanaan aktivitas pembelajaran, dan format refleksi guru untuk memudahkan implementasi di kelas.</w:t>
      </w:r>
    </w:p>
    <w:p w:rsidR="00000000" w:rsidDel="00000000" w:rsidP="00000000" w:rsidRDefault="00000000" w:rsidRPr="00000000" w14:paraId="00000019">
      <w:pPr>
        <w:pStyle w:val="Heading1"/>
        <w:spacing w:after="0" w:before="0" w:lineRule="auto"/>
        <w:ind w:firstLine="426"/>
        <w:jc w:val="both"/>
        <w:rPr>
          <w:rFonts w:ascii="Book Antiqua" w:cs="Book Antiqua" w:eastAsia="Book Antiqua" w:hAnsi="Book Antiqua"/>
          <w:b w:val="0"/>
          <w:bCs w:val="0"/>
          <w:color w:val="000000"/>
        </w:rPr>
      </w:pPr>
      <w:r w:rsidDel="00000000" w:rsidR="00000000" w:rsidRPr="00000000">
        <w:rPr>
          <w:rFonts w:ascii="Book Antiqua" w:cs="Book Antiqua" w:eastAsia="Book Antiqua" w:hAnsi="Book Antiqua"/>
          <w:b w:val="0"/>
          <w:bCs w:val="0"/>
          <w:color w:val="000000"/>
          <w:rtl w:val="0"/>
        </w:rPr>
        <w:tab/>
        <w:t xml:space="preserve">Tahap ketiga adalah pelaksanaan pelatihan. Pelatihan dilakukan melalui metode ceramah interaktif, diskusi, studi kasus, dan simulasi. Pada sesi ceramah interaktif, peserta memperoleh penguatan konsep mengenai pembelajaran inklusif dan prinsip-prinsip dasar manajemen pembelajaran. Pada sesi diskusi, guru diajak membahas persoalan nyata yang mereka hadapi selama mengajar di kelas inklusi. Pada sesi studi kasus, peserta menganalisis contoh situasi pembelajaran yang melibatkan murid dengan karakteristik yang berbeda, seperti anak dengan ADHD, ASD, atau GDD. Selanjutnya, pada sesi simulasi, peserta berlatih menyusun skenario pembelajaran sederhana yang menyesuaikan tujuan pembelajaran, pendekatan komunikasi, media bantu, dan teknik evaluasi dengan kebutuhan anak.</w:t>
      </w:r>
    </w:p>
    <w:p w:rsidR="00000000" w:rsidDel="00000000" w:rsidP="00000000" w:rsidRDefault="00000000" w:rsidRPr="00000000" w14:paraId="0000001A">
      <w:pPr>
        <w:pStyle w:val="Heading1"/>
        <w:spacing w:after="0" w:before="0" w:lineRule="auto"/>
        <w:ind w:firstLine="426"/>
        <w:jc w:val="both"/>
        <w:rPr>
          <w:rFonts w:ascii="Book Antiqua" w:cs="Book Antiqua" w:eastAsia="Book Antiqua" w:hAnsi="Book Antiqua"/>
          <w:b w:val="0"/>
          <w:bCs w:val="0"/>
          <w:color w:val="000000"/>
        </w:rPr>
      </w:pPr>
      <w:r w:rsidDel="00000000" w:rsidR="00000000" w:rsidRPr="00000000">
        <w:rPr>
          <w:rFonts w:ascii="Book Antiqua" w:cs="Book Antiqua" w:eastAsia="Book Antiqua" w:hAnsi="Book Antiqua"/>
          <w:b w:val="0"/>
          <w:bCs w:val="0"/>
          <w:color w:val="000000"/>
          <w:rtl w:val="0"/>
        </w:rPr>
        <w:tab/>
        <w:t xml:space="preserve">Tahap keempat adalah pendampingan implementasi. Setelah pelatihan, guru didampingi dalam menerapkan hasil pelatihan ke dalam praktik pembelajaran di kelas. Pendampingan dilakukan melalui observasi terbatas, diskusi reflektif, dan umpan balik terhadap strategi yang telah dicoba oleh guru. Fokus pendampingan adalah membantu guru dalam menerapkan perencanaan pembelajaran yang lebih terstruktur, memilih metode komunikasi yang sesuai, memanfaatkan media visual secara lebih efektif, serta mengelola respon belajar anak secara lebih adaptif. Pada tahap ini, guru juga diarahkan untuk menyusun penyesuaian pembelajaran sederhana berdasarkan kebutuhan dan kemampuan masing-masing murid.</w:t>
      </w:r>
    </w:p>
    <w:p w:rsidR="00000000" w:rsidDel="00000000" w:rsidP="00000000" w:rsidRDefault="00000000" w:rsidRPr="00000000" w14:paraId="0000001B">
      <w:pPr>
        <w:pStyle w:val="Heading1"/>
        <w:spacing w:after="0" w:before="0" w:lineRule="auto"/>
        <w:ind w:firstLine="426"/>
        <w:jc w:val="both"/>
        <w:rPr>
          <w:rFonts w:ascii="Book Antiqua" w:cs="Book Antiqua" w:eastAsia="Book Antiqua" w:hAnsi="Book Antiqua"/>
          <w:b w:val="0"/>
          <w:bCs w:val="0"/>
          <w:color w:val="000000"/>
        </w:rPr>
      </w:pPr>
      <w:r w:rsidDel="00000000" w:rsidR="00000000" w:rsidRPr="00000000">
        <w:rPr>
          <w:rFonts w:ascii="Book Antiqua" w:cs="Book Antiqua" w:eastAsia="Book Antiqua" w:hAnsi="Book Antiqua"/>
          <w:b w:val="0"/>
          <w:bCs w:val="0"/>
          <w:color w:val="000000"/>
          <w:rtl w:val="0"/>
        </w:rPr>
        <w:tab/>
        <w:t xml:space="preserve">Tahap kelima adalah monitoring dan evaluasi. Evaluasi program dilakukan untuk mengetahui tingkat ketercapaian kegiatan dan perubahan pemahaman guru setelah mengikuti pelatihan. Evaluasi dilakukan melalui beberapa teknik, yaitu observasi partisipasi peserta selama pelatihan, tanya jawab, pengisian angket sederhana sebelum dan sesudah kegiatan, serta refleksi guru terhadap manfaat program. Indikator keberhasilan program meliputi: meningkatnya pemahaman guru tentang manajemen pembelajaran inklusif, meningkatnya kemampuan guru dalam menyusun pembelajaran yang adaptif, meningkatnya keterampilan guru dalam memilih strategi komunikasi dan media pembelajaran, serta adanya kesiapan guru untuk menerapkan hasil pelatihan secara berkelanjutan dalam kegiatan belajar mengajar.</w:t>
      </w:r>
    </w:p>
    <w:p w:rsidR="00000000" w:rsidDel="00000000" w:rsidP="00000000" w:rsidRDefault="00000000" w:rsidRPr="00000000" w14:paraId="0000001C">
      <w:pPr>
        <w:pStyle w:val="Heading1"/>
        <w:spacing w:after="0" w:before="0" w:lineRule="auto"/>
        <w:ind w:firstLine="426"/>
        <w:jc w:val="both"/>
        <w:rPr>
          <w:rFonts w:ascii="Book Antiqua" w:cs="Book Antiqua" w:eastAsia="Book Antiqua" w:hAnsi="Book Antiqua"/>
          <w:b w:val="0"/>
          <w:bCs w:val="0"/>
          <w:color w:val="000000"/>
        </w:rPr>
      </w:pPr>
      <w:r w:rsidDel="00000000" w:rsidR="00000000" w:rsidRPr="00000000">
        <w:rPr>
          <w:rFonts w:ascii="Book Antiqua" w:cs="Book Antiqua" w:eastAsia="Book Antiqua" w:hAnsi="Book Antiqua"/>
          <w:b w:val="0"/>
          <w:bCs w:val="0"/>
          <w:color w:val="000000"/>
          <w:rtl w:val="0"/>
        </w:rPr>
        <w:tab/>
        <w:t xml:space="preserve">Secara operasional, metode pelaksanaan program ini dapat diringkas ke dalam alur: identifikasi kebutuhan mitra, penyusunan materi pelatihan, pelaksanaan pelatihan, pendampingan implementasi, serta monitoring dan evaluasi. Alur tersebut dipilih agar program pengabdian tidak berhenti pada transfer pengetahuan, tetapi benar-benar menghasilkan penguatan kapasitas guru yang berdampak pada peningkatan kualitas pembelajaran inklusif di TK AZ-Zahrah. Dengan metode ini, program diharapkan mampu membantu guru mengelola pembelajaran secara lebih sistematis, responsif, dan sesuai dengan kebutuhan murid berkebutuhan khusus.</w:t>
      </w:r>
    </w:p>
    <w:p w:rsidR="00000000" w:rsidDel="00000000" w:rsidP="00000000" w:rsidRDefault="00000000" w:rsidRPr="00000000" w14:paraId="0000001D">
      <w:pPr>
        <w:pStyle w:val="Heading1"/>
        <w:jc w:val="both"/>
        <w:rPr>
          <w:rFonts w:ascii="Book Antiqua" w:cs="Book Antiqua" w:eastAsia="Book Antiqua" w:hAnsi="Book Antiqua"/>
        </w:rPr>
      </w:pPr>
      <w:r w:rsidDel="00000000" w:rsidR="00000000" w:rsidRPr="00000000">
        <w:rPr>
          <w:rFonts w:ascii="Book Antiqua" w:cs="Book Antiqua" w:eastAsia="Book Antiqua" w:hAnsi="Book Antiqua"/>
          <w:rtl w:val="0"/>
        </w:rPr>
        <w:t xml:space="preserve">HASIL DAN PEMBAHASAN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Pelaksanaan program pengabdian ini berangkat dari kebutuhan nyata mitra, yaitu perlunya penguatan kapasitas guru dalam mengelola pembelajaran inklusif bagi murid berkebutuhan khusus di TK AZ-Zahrah. Berdasarkan kondisi awal, guru di sekolah ini telah memiliki pengalaman praktis dalam mendampingi anak dengan karakteristik yang beragam, termasuk anak dengan ADHD, ASD, dan GDD. Namun, pengalaman tersebut masih lebih banyak bertumpu pada penyesuaian spontan di lapangan, belum sepenuhnya didukung oleh kerangka manajemen pembelajaran yang sistematis. Dalam konteks ini, pelatihan yang diberikan menjadi penting karena tidak hanya memperkuat pemahaman konseptual guru, tetapi juga membantu menata praktik pembelajaran yang sebelumnya bersifat intuitif menjadi lebih terarah, terencana, dan adaptif.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Salah satu temuan penting dari kegiatan pengabdian ini adalah bahwa guru pada dasarnya telah menerapkan prinsip-prinsip inklusif dalam interaksi belajar, meskipun belum selalu disadari sebagai bagian dari manajemen pembelajaran. Penggunaan bahasa yang sederhana, alat bantu visual, serta pemberian pujian dan reward sebagaimana telah tampak pada kondisi awal mitra menunjukkan bahwa guru telah berupaya menyesuaikan komunikasi dan pendekatan belajar dengan kebutuhan anak. Kegiatan pelatihan kemudian memperkuat praktik tersebut dengan memberikan pemahaman bahwa strategi-strategi itu merupakan bagian dari proses perencanaan dan pelaksanaan pembelajaran yang harus disusun secara sadar dan konsisten. Dengan demikian, pelatihan tidak dimulai dari nol, tetapi berfungsi menguatkan dan menstrukturkan praktik baik yang sebenarnya sudah tumbuh dalam pengalaman mengajar guru.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Dari sudut pandang manajemen, pembelajaran inklusif menuntut guru untuk mampu menjalankan empat fungsi utama, yaitu perencanaan, pengorganisasian, pelaksanaan, dan evaluasi. Pada aspek perencanaan, pelatihan ini membantu guru memahami bahwa pembelajaran bagi murid berkebutuhan khusus perlu disusun dengan mempertimbangkan kondisi, kemampuan, dan respon belajar masing-masing anak. Hal ini penting karena pendekatan yang seragam sulit diterapkan pada kelas yang heterogen. Dalam pembahasan bersama guru, tampak bahwa kebutuhan untuk menyusun tujuan pembelajaran yang realistis, langkah kegiatan yang fleksibel, serta media yang mudah dipahami anak merupakan bagian yang sangat menentukan keberhasilan pembelajaran. Temuan ini sejalan dengan pandangan bahwa mutu layanan pendidikan inklusif dipengaruhi oleh kemampuan guru dan sekolah dalam mengelola pembelajaran secara terencana dan adaptif (Fitriani et al., 2022).</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Pada aspek pengorganisasian, program ini memperlihatkan bahwa kelas inklusif memerlukan pengaturan yang berbeda dibandingkan kelas reguler pada umumnya. Guru tidak hanya berperan sebagai penyampai materi, tetapi juga sebagai pengelola ritme belajar, pengatur interaksi, dan fasilitator yang memastikan setiap anak tetap terlibat sesuai kapasitasnya. Dalam konteks TK AZ-Zahrah, tantangan seperti anak yang sulit berkonsentrasi, kebutuhan pengulangan instruksi, dan perbedaan respon belajar menuntut guru untuk mengelola waktu, posisi duduk, alat bantu, dan aktivitas kelas secara lebih fleksibel. Pelatihan ini membantu guru melihat bahwa pengorganisasian kelas bukan sekadar soal penataan fisik, melainkan juga penataan alur kegiatan, pembagian perhatian, dan pemanfaatan media agar pembelajaran menjadi lebih kondusif bagi semua anak.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Pada aspek pelaksanaan, kegiatan pengabdian ini menegaskan bahwa komunikasi guru merupakan inti dari pembelajaran inklusif. Guru yang mampu menyampaikan instruksi secara sederhana, konsisten, dan didukung media visual akan lebih mudah membangun rasa aman dan keterlibatan anak dalam proses belajar. Dalam file dasar yang Anda unggah, terlihat bahwa guru telah menggunakan pendekatan bahasa sederhana dan visual sebagai strategi utama. Dalam pembahasan hasil pengabdian, praktik tersebut dapat dipahami sebagai bentuk komunikasi edukatif yang efektif karena mampu menjembatani keterbatasan pemahaman verbal pada sebagian anak. Temuan ini selaras dengan hasil studi awal Anda yang menekankan bahwa pola komunikasi guru memiliki kontribusi terhadap motivasi belajar murid berkebutuhan khusus (Putra et al., n.d.).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Selain itu, pelatihan juga memperkuat pemahaman guru bahwa pemberian apresiasi tidak semata-mata bertujuan menyenangkan anak, melainkan merupakan bagian dari strategi penguatan perilaku positif dalam pembelajaran. Pujian, reward sederhana, dan pengakuan atas usaha anak berfungsi untuk meningkatkan rasa percaya diri serta menjaga motivasi belajar. Dalam konteks anak berkebutuhan khusus, penguatan positif menjadi penting karena banyak anak membutuhkan dorongan emosional yang konsisten untuk bertahan dalam aktivitas belajar. Dengan demikian, hasil pengabdian menunjukkan bahwa strategi apresiasi yang selama ini telah dilakukan guru dapat diposisikan sebagai bagian dari pelaksanaan pembelajaran yang terarah, bukan sekadar kebiasaan spontan di kelas.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Aspek lain yang menjadi pembahasan penting adalah evaluasi pembelajaran. Sebelum pelatihan, evaluasi cenderung dipahami secara umum sebagai melihat apakah anak mengikuti kegiatan atau tidak. Melalui pelatihan ini, guru diperkenalkan pada pentingnya evaluasi yang lebih adaptif, yaitu menilai perkembangan anak berdasarkan perubahan perilaku belajar, kemampuan mengikuti instruksi, keterlibatan dalam aktivitas, serta respon terhadap media dan pendekatan tertentu. Perspektif ini penting karena pada kelas inklusif, keberhasilan pembelajaran tidak selalu diukur dari capaian akademik yang seragam, tetapi juga dari kemajuan individual anak sesuai kondisi masing-masing. Dengan cara pandang ini, guru menjadi lebih terbantu dalam memahami bahwa setiap perkembangan kecil pada anak berkebutuhan khusus merupakan indikator penting yang patut dicatat dan diapresiasi.</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Hasil pembahasan juga menunjukkan bahwa pelatihan memiliki nilai strategis dalam memperkuat refleksi guru terhadap praktik mengajar mereka sendiri. Guru tidak hanya menerima materi, tetapi juga diajak membahas kasus nyata yang mereka hadapi sehari-hari. Proses ini penting karena banyak persoalan di kelas inklusif tidak dapat diselesaikan dengan rumus tunggal, melainkan perlu dipahami melalui konteks masing-masing anak. Ketika guru diberi ruang untuk merefleksikan pengalamannya, mereka menjadi lebih mampu mengidentifikasi tantangan utama, memilih strategi yang paling sesuai, dan menyadari pentingnya konsistensi dalam pengelolaan pembelajaran. Dalam hal ini, pelatihan berfungsi sebagai ruang belajar bersama yang mempertemukan pengalaman lapangan dengan penguatan konsep.</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Dari sisi hambatan, kegiatan ini juga menegaskan bahwa keberhasilan pembelajaran inklusif tidak hanya ditentukan oleh kompetensi guru, tetapi juga oleh dukungan sarana dan kolaborasi dengan orang tua. Dalam kondisi awal, guru masih menghadapi keterbatasan alat bantu dan belum optimalnya komunikasi dengan wali murid. Hal ini menunjukkan bahwa penguatan kapasitas guru perlu diikuti oleh dukungan lingkungan sekolah dan keluarga agar hasilnya lebih optimal. Kolaborasi dengan orang tua menjadi penting karena perkembangan anak berkebutuhan khusus berlangsung tidak hanya di sekolah, tetapi juga di rumah. Oleh sebab itu, pembelajaran inklusif perlu dipahami sebagai proses yang melibatkan kemitraan antara guru, sekolah, dan keluarga.</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Secara konseptual, pembahasan hasil pengabdian ini memperlihatkan bahwa pelatihan manajemen pembelajaran inklusif merupakan intervensi yang relevan bagi TK AZ-Zahrah. Program ini mampu menjawab kebutuhan mitra karena memberikan penguatan pada aspek yang paling mendasar, yakni bagaimana guru merancang, melaksanakan, dan mengevaluasi pembelajaran yang berpihak pada kebutuhan anak. Dalam konteks mata kuliah Dasar-Dasar Manajemen, program ini juga menunjukkan bahwa prinsip manajemen tidak hanya relevan dalam organisasi formal atau bisnis, tetapi juga sangat penting dalam praktik pendidikan, khususnya dalam pengelolaan pembelajaran yang kompleks dan beragam. Dengan kata lain, pengabdian ini memperlihatkan bahwa kapasitas guru dalam pembelajaran inklusif dapat ditingkatkan melalui pendekatan manajerial yang aplikatif dan kontekstual.</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Secara keseluruhan, pembahasan ini menunjukkan bahwa pelatihan yang diberikan tidak hanya menambah wawasan guru, tetapi juga memperkuat kesadaran profesional mereka dalam mengelola kelas inklusif. Pengalaman praktis yang sebelumnya dijalankan secara spontan mulai diarahkan ke dalam kerangka kerja yang lebih sistematis. Implikasi terpenting dari kegiatan ini adalah terbukanya peluang bagi sekolah untuk mengembangkan pola pembelajaran inklusif yang lebih konsisten, terukur, dan berkelanjutan. Dengan demikian, penguatan kapasitas guru melalui pelatihan manajemen pembelajaran inklusif tidak hanya berdampak pada peningkatan kompetensi guru, tetapi juga pada peningkatan mutu layanan pendidikan bagi murid berkebutuhan khusus di TK AZ-Zahrah.</w:t>
      </w:r>
    </w:p>
    <w:p w:rsidR="00000000" w:rsidDel="00000000" w:rsidP="00000000" w:rsidRDefault="00000000" w:rsidRPr="00000000" w14:paraId="00000029">
      <w:pPr>
        <w:pStyle w:val="Heading1"/>
        <w:rPr>
          <w:rFonts w:ascii="Book Antiqua" w:cs="Book Antiqua" w:eastAsia="Book Antiqua" w:hAnsi="Book Antiqua"/>
        </w:rPr>
      </w:pPr>
      <w:r w:rsidDel="00000000" w:rsidR="00000000" w:rsidRPr="00000000">
        <w:rPr>
          <w:rFonts w:ascii="Book Antiqua" w:cs="Book Antiqua" w:eastAsia="Book Antiqua" w:hAnsi="Book Antiqua"/>
          <w:rtl w:val="0"/>
        </w:rPr>
        <w:t xml:space="preserve">KESIMPULAN </w:t>
      </w:r>
    </w:p>
    <w:p w:rsidR="00000000" w:rsidDel="00000000" w:rsidP="00000000" w:rsidRDefault="00000000" w:rsidRPr="00000000" w14:paraId="0000002A">
      <w:pPr>
        <w:ind w:firstLine="709"/>
        <w:jc w:val="both"/>
        <w:rPr>
          <w:rFonts w:ascii="Book Antiqua" w:cs="Book Antiqua" w:eastAsia="Book Antiqua" w:hAnsi="Book Antiqua"/>
          <w:sz w:val="22"/>
          <w:szCs w:val="22"/>
        </w:rPr>
      </w:pPr>
      <w:r w:rsidDel="00000000" w:rsidR="00000000" w:rsidRPr="00000000">
        <w:rPr>
          <w:rtl w:val="0"/>
        </w:rPr>
        <w:t xml:space="preserve">Pelaksanaan kegiatan pengabdian masyarakat melalui pelatihan manajemen pembelajaran inklusif di TK AZ-Zahrah telah terlaksana dengan baik dan mendapatkan respon positif dari para guru. Kegiatan ini berhasil memberikan penguatan kapasitas bagi guru dalam mengelola pembelajaran yang sebelumnya bersifat intuitif dan spontan menjadi lebih sistematis, terencana, dan adaptif. Melalui pendekatan partisipatif, guru telah mampu memahami dan menerapkan empat fungsi utama manajemen perencanaan, pengorganisasian, pelaksanaan, serta evaluasi yang dikhususkan bagi murid dengan karakteristik ADHD, ASD, dan GDD. Peningkatan kompetensi ini terlihat pada kemampuan guru dalam menyusun strategi komunikasi edukatif yang lebih efektif, pemanfaatan media visual, serta penerapan sistem evaluasi yang berbasis pada perkembangan individual anak. Dengan demikian, pelatihan ini tidak hanya meningkatkan wawasan profesional guru, tetapi juga memperkuat mutu layanan pendidikan inklusif di lingkungan TK AZ-Zahrah secara berkelanjutan. Berdasarkan hasil pelaksanaan program, terdapat beberapa poin yang disarankan untuk mengoptimalkan kualitas pendidikan inklusif ke depannya. Pertama, pembinaan terhadap para guru sebaiknya dilakukan secara berkala dan berkelanjutan agar konsistensi dalam mengelola kelas inklusif tetap terjaga. Kedua, pihak sekolah perlu memberikan perhatian lebih pada penyediaan alat bantu pembelajaran dan media visual yang lebih beragam untuk menunjang kebutuhan spesifik setiap murid. Selain itu, sangat penting untuk membangun kolaborasi dan pola komunikasi yang lebih efektif antara guru dengan orang tua agar stimulasi perkembangan anak dapat dilakukan secara selaras baik di sekolah maupun di rumah. Terakhir, pengembangan kapasitas manajerial guru harus terus didorong melalui ruang-ruang diskusi reflektif untuk membahas kasus-kasus nyata yang dihadapi di lapangan.</w:t>
      </w:r>
      <w:r w:rsidDel="00000000" w:rsidR="00000000" w:rsidRPr="00000000">
        <w:rPr>
          <w:rFonts w:ascii="Book Antiqua" w:cs="Book Antiqua" w:eastAsia="Book Antiqua" w:hAnsi="Book Antiqua"/>
          <w:sz w:val="22"/>
          <w:szCs w:val="22"/>
          <w:rtl w:val="0"/>
        </w:rPr>
        <w:t xml:space="preserve">.</w:t>
      </w:r>
    </w:p>
    <w:p w:rsidR="00000000" w:rsidDel="00000000" w:rsidP="00000000" w:rsidRDefault="00000000" w:rsidRPr="00000000" w14:paraId="0000002B">
      <w:pPr>
        <w:pStyle w:val="Heading1"/>
        <w:rPr>
          <w:rFonts w:ascii="Book Antiqua" w:cs="Book Antiqua" w:eastAsia="Book Antiqua" w:hAnsi="Book Antiqua"/>
        </w:rPr>
      </w:pPr>
      <w:r w:rsidDel="00000000" w:rsidR="00000000" w:rsidRPr="00000000">
        <w:rPr>
          <w:rFonts w:ascii="Book Antiqua" w:cs="Book Antiqua" w:eastAsia="Book Antiqua" w:hAnsi="Book Antiqua"/>
          <w:rtl w:val="0"/>
        </w:rPr>
        <w:t xml:space="preserve">DAFTAR PUSTAKA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735"/>
          <w:tab w:val="left" w:leader="none" w:pos="8209"/>
        </w:tabs>
        <w:spacing w:after="120" w:before="0" w:line="240" w:lineRule="auto"/>
        <w:ind w:left="1134" w:right="160" w:hanging="113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Ackers, J. (2018, December 21).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Teacher education and inclusive education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UNESCO International Institute for Educational Planning.</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735"/>
          <w:tab w:val="left" w:leader="none" w:pos="8209"/>
        </w:tabs>
        <w:spacing w:after="120" w:before="0" w:line="240" w:lineRule="auto"/>
        <w:ind w:left="1134" w:right="160" w:hanging="113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Fitriani, F., Trisnamansyah, S., &amp; Insan, H. S. (2022). Manajemen penyelenggaraan pendidikan inklusi dalam meningkatkan mutu layanan pembelajaran peserta didik berkebutuhan khusus.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JIIP - Jurnal Ilmiah Ilmu Pendidikan, 5</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929–938. doi:10.54371/jiip.v5i3.514</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735"/>
          <w:tab w:val="left" w:leader="none" w:pos="8209"/>
        </w:tabs>
        <w:spacing w:after="120" w:before="0" w:line="240" w:lineRule="auto"/>
        <w:ind w:left="1134" w:right="160" w:hanging="113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Kementerian Pendidikan, Kebudayaan, Riset, dan Teknologi Republik Indonesia. (2023).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Peraturan Menteri Pendidikan, Kebudayaan, Riset, dan Teknologi Republik Indonesia Nomor 48 Tahun 2023 tentang akomodasi yang layak untuk peserta didik penyandang disabilitas pada satuan pendidikan anak usia dini formal, pendidikan dasar, pendidikan menengah, dan pendidikan tinggi</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735"/>
          <w:tab w:val="left" w:leader="none" w:pos="8209"/>
        </w:tabs>
        <w:spacing w:after="120" w:before="0" w:line="240" w:lineRule="auto"/>
        <w:ind w:left="1134" w:right="160" w:hanging="113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Passanisi, A., Buzzai, C., &amp; Pace, U. (2022). Special education teachers: The role of autonomous motivation in the relationship between teachers’ efficacy for inclusive practice and teaching styles.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International Journal of Environmental Research and Public Health, 19</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(17), Article 10921. doi:10.3390/ijerph191710921</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735"/>
          <w:tab w:val="left" w:leader="none" w:pos="8209"/>
        </w:tabs>
        <w:spacing w:after="120" w:before="0" w:line="240" w:lineRule="auto"/>
        <w:ind w:left="1134" w:right="160" w:hanging="113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Putra, A. K., Lingu, A. B., &amp; Adi, K. M. (n.d.).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Pola komunikasi guru TK. AZ-Zahrah terhadap motivasi belajar murid berkebutuhan khusus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[Unpublished manuscript].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735"/>
          <w:tab w:val="left" w:leader="none" w:pos="8209"/>
        </w:tabs>
        <w:spacing w:after="120" w:before="0" w:line="240" w:lineRule="auto"/>
        <w:ind w:left="1134" w:right="160" w:hanging="113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Singogo, D., &amp; Muzata, K. K. (2023). Teachers’ level of understanding of inclusive education on their efficacy in the inclusive early childhood education delivery.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International Journal of Education and Teaching, 3</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81–91. doi:10.51483/IJEDT.3.2.2023.81-91</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735"/>
          <w:tab w:val="left" w:leader="none" w:pos="8209"/>
        </w:tabs>
        <w:spacing w:after="120" w:before="0" w:line="240" w:lineRule="auto"/>
        <w:ind w:left="1134" w:right="160" w:hanging="113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UNESCO. (2020).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Global education monitoring report 2020: Inclusion and education: All means all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735"/>
          <w:tab w:val="left" w:leader="none" w:pos="8209"/>
        </w:tabs>
        <w:spacing w:after="120" w:before="0" w:line="240" w:lineRule="auto"/>
        <w:ind w:left="1134" w:right="160" w:hanging="113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Fitriani, F., Trisnamansyah, S., &amp; Insan, H. S. (2022). Manajemen penyelenggaraan pendidikan inklusi dalam meningkatkan mutu layanan pembelajaran peserta didik berkebutuhan khusus.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JIIP - Jurnal Ilmiah Ilmu Pendidikan, 5</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929–938.</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735"/>
          <w:tab w:val="left" w:leader="none" w:pos="8209"/>
        </w:tabs>
        <w:spacing w:after="120" w:before="0" w:line="240" w:lineRule="auto"/>
        <w:ind w:left="1134" w:right="160" w:hanging="1136"/>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Putra, A. K., Lingu, A. B., &amp; Adi, K. M. (n.d.).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Pola komunikasi guru TK. AZ-Zahrah terhadap motivasi belajar murid berkebutuhan khusus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[Unpublished manuscript]. </w:t>
      </w:r>
    </w:p>
    <w:p w:rsidR="00000000" w:rsidDel="00000000" w:rsidP="00000000" w:rsidRDefault="00000000" w:rsidRPr="00000000" w14:paraId="00000035">
      <w:pPr>
        <w:spacing w:after="60" w:lineRule="auto"/>
        <w:ind w:left="720" w:hanging="720"/>
        <w:jc w:val="both"/>
        <w:rPr>
          <w:rFonts w:ascii="Book Antiqua" w:cs="Book Antiqua" w:eastAsia="Book Antiqua" w:hAnsi="Book Antiqua"/>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40" w:w="11907" w:orient="portrait"/>
      <w:pgMar w:bottom="1418" w:top="1418" w:left="1418" w:right="1418" w:header="720" w:footer="720"/>
      <w:pgNumType w:start="22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Arial"/>
  <w:font w:name="Times New Roman"/>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leader="none" w:pos="4320"/>
        <w:tab w:val="right" w:leader="none" w:pos="8640"/>
        <w:tab w:val="left" w:leader="none" w:pos="2992"/>
      </w:tabs>
      <w:ind w:right="90"/>
      <w:rPr>
        <w:color w:val="ffffff"/>
        <w:sz w:val="22"/>
        <w:szCs w:val="22"/>
      </w:rPr>
    </w:pPr>
    <w:r w:rsidDel="00000000" w:rsidR="00000000" w:rsidRPr="00000000">
      <w:rPr>
        <w:b w:val="1"/>
        <w:bCs w:val="1"/>
        <w:color w:val="ffffff"/>
        <w:sz w:val="22"/>
        <w:szCs w:val="22"/>
        <w:rtl w:val="0"/>
      </w:rPr>
      <w:t xml:space="preserve">IJCCS </w:t>
    </w:r>
    <w:r w:rsidDel="00000000" w:rsidR="00000000" w:rsidRPr="00000000">
      <w:rPr>
        <w:color w:val="ffffff"/>
        <w:sz w:val="22"/>
        <w:szCs w:val="22"/>
        <w:rtl w:val="0"/>
      </w:rPr>
      <w:t xml:space="preserve"> Vol. x, No. x,  July 201x :  first_page – end_page</w:t>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-46988</wp:posOffset>
              </wp:positionH>
              <wp:positionV relativeFrom="paragraph">
                <wp:posOffset>-34924</wp:posOffset>
              </wp:positionV>
              <wp:extent cx="0" cy="12700"/>
              <wp:effectExtent b="0" l="0" r="0" t="0"/>
              <wp:wrapNone/>
              <wp:docPr id="1178425000" name=""/>
              <a:graphic>
                <a:graphicData uri="http://schemas.microsoft.com/office/word/2010/wordprocessingShape">
                  <wps:wsp>
                    <wps:cNvCnPr/>
                    <wps:spPr>
                      <a:xfrm>
                        <a:off x="2614865" y="3780000"/>
                        <a:ext cx="546227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-46988</wp:posOffset>
              </wp:positionH>
              <wp:positionV relativeFrom="paragraph">
                <wp:posOffset>-34924</wp:posOffset>
              </wp:positionV>
              <wp:extent cx="0" cy="12700"/>
              <wp:effectExtent b="0" l="0" r="0" t="0"/>
              <wp:wrapNone/>
              <wp:docPr id="1178425000"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pBdr>
        <w:top w:color="000000" w:space="1" w:sz="4" w:val="single"/>
        <w:left w:space="0" w:sz="0" w:val="nil"/>
        <w:bottom w:space="0" w:sz="0" w:val="nil"/>
        <w:right w:space="0" w:sz="0" w:val="nil"/>
        <w:between w:space="0" w:sz="0" w:val="nil"/>
      </w:pBdr>
      <w:tabs>
        <w:tab w:val="center" w:leader="none" w:pos="4320"/>
        <w:tab w:val="right" w:leader="none" w:pos="8640"/>
        <w:tab w:val="left" w:leader="none" w:pos="210"/>
        <w:tab w:val="right" w:leader="none" w:pos="9071"/>
      </w:tabs>
      <w:rPr>
        <w:rFonts w:ascii="Book Antiqua" w:cs="Book Antiqua" w:eastAsia="Book Antiqua" w:hAnsi="Book Antiqua"/>
        <w:color w:val="000000"/>
        <w:sz w:val="22"/>
        <w:szCs w:val="22"/>
      </w:rPr>
    </w:pPr>
    <w:r w:rsidDel="00000000" w:rsidR="00000000" w:rsidRPr="00000000">
      <w:rPr>
        <w:rFonts w:ascii="Book Antiqua" w:cs="Book Antiqua" w:eastAsia="Book Antiqua" w:hAnsi="Book Antiqua"/>
        <w:color w:val="000000"/>
        <w:sz w:val="22"/>
        <w:szCs w:val="22"/>
        <w:rtl w:val="0"/>
      </w:rPr>
      <w:t xml:space="preserve">E-ISSN: </w:t>
    </w:r>
    <w:r w:rsidDel="00000000" w:rsidR="00000000" w:rsidRPr="00000000">
      <w:rPr>
        <w:rFonts w:ascii="Book Antiqua" w:cs="Book Antiqua" w:eastAsia="Book Antiqua" w:hAnsi="Book Antiqua"/>
        <w:sz w:val="22"/>
        <w:szCs w:val="22"/>
        <w:rtl w:val="0"/>
      </w:rPr>
      <w:t xml:space="preserve">3124</w:t>
    </w:r>
    <w:r w:rsidDel="00000000" w:rsidR="00000000" w:rsidRPr="00000000">
      <w:rPr>
        <w:rFonts w:ascii="Book Antiqua" w:cs="Book Antiqua" w:eastAsia="Book Antiqua" w:hAnsi="Book Antiqua"/>
        <w:color w:val="000000"/>
        <w:sz w:val="22"/>
        <w:szCs w:val="22"/>
        <w:rtl w:val="0"/>
      </w:rPr>
      <w:t xml:space="preserve">-3</w:t>
    </w:r>
    <w:r w:rsidDel="00000000" w:rsidR="00000000" w:rsidRPr="00000000">
      <w:rPr>
        <w:rFonts w:ascii="Book Antiqua" w:cs="Book Antiqua" w:eastAsia="Book Antiqua" w:hAnsi="Book Antiqua"/>
        <w:sz w:val="22"/>
        <w:szCs w:val="22"/>
        <w:rtl w:val="0"/>
      </w:rPr>
      <w:t xml:space="preserve">770</w:t>
    </w:r>
    <w:r w:rsidDel="00000000" w:rsidR="00000000" w:rsidRPr="00000000">
      <w:rPr>
        <w:rFonts w:ascii="Book Antiqua" w:cs="Book Antiqua" w:eastAsia="Book Antiqua" w:hAnsi="Book Antiqua"/>
        <w:color w:val="000000"/>
        <w:sz w:val="22"/>
        <w:szCs w:val="22"/>
        <w:rtl w:val="0"/>
      </w:rPr>
      <w:tab/>
    </w:r>
    <w:r w:rsidDel="00000000" w:rsidR="00000000" w:rsidRPr="00000000">
      <w:rPr>
        <w:rFonts w:ascii="Book Antiqua" w:cs="Book Antiqua" w:eastAsia="Book Antiqua" w:hAnsi="Book Antiqua"/>
        <w:color w:val="000000"/>
        <w:sz w:val="22"/>
        <w:szCs w:val="22"/>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pBdr>
        <w:top w:color="000000" w:space="1" w:sz="4" w:val="single"/>
        <w:left w:space="0" w:sz="0" w:val="nil"/>
        <w:bottom w:space="0" w:sz="0" w:val="nil"/>
        <w:right w:space="0" w:sz="0" w:val="nil"/>
        <w:between w:space="0" w:sz="0" w:val="nil"/>
      </w:pBdr>
      <w:tabs>
        <w:tab w:val="center" w:leader="none" w:pos="4320"/>
        <w:tab w:val="right" w:leader="none" w:pos="8640"/>
      </w:tabs>
      <w:rPr>
        <w:i w:val="1"/>
        <w:iCs w:val="1"/>
        <w:color w:val="ffffff"/>
        <w:sz w:val="22"/>
        <w:szCs w:val="22"/>
      </w:rPr>
    </w:pPr>
    <w:r w:rsidDel="00000000" w:rsidR="00000000" w:rsidRPr="00000000">
      <w:rPr>
        <w:color w:val="000000"/>
        <w:sz w:val="24"/>
        <w:szCs w:val="24"/>
        <w:rtl w:val="0"/>
      </w:rPr>
      <w:t xml:space="preserve">ISSN 1111                                                         LPPM UNILAK</w:t>
      <w:tab/>
      <w:tab/>
    </w:r>
    <w:r w:rsidDel="00000000" w:rsidR="00000000" w:rsidRPr="00000000">
      <w:rPr>
        <w:i w:val="1"/>
        <w:iCs w:val="1"/>
        <w:color w:val="ffffff"/>
        <w:sz w:val="22"/>
        <w:szCs w:val="22"/>
        <w:rtl w:val="0"/>
      </w:rPr>
      <w:t xml:space="preserve"> ly 10</w:t>
    </w:r>
    <w:r w:rsidDel="00000000" w:rsidR="00000000" w:rsidRPr="00000000">
      <w:rPr>
        <w:i w:val="1"/>
        <w:iCs w:val="1"/>
        <w:color w:val="ffffff"/>
        <w:sz w:val="22"/>
        <w:szCs w:val="22"/>
        <w:vertAlign w:val="superscript"/>
        <w:rtl w:val="0"/>
      </w:rPr>
      <w:t xml:space="preserve">th</w:t>
    </w:r>
    <w:r w:rsidDel="00000000" w:rsidR="00000000" w:rsidRPr="00000000">
      <w:rPr>
        <w:i w:val="1"/>
        <w:iCs w:val="1"/>
        <w:color w:val="ffffff"/>
        <w:sz w:val="22"/>
        <w:szCs w:val="22"/>
        <w:rtl w:val="0"/>
      </w:rPr>
      <w:t xml:space="preserve">, 2012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center" w:leader="none" w:pos="4320"/>
        <w:tab w:val="right" w:leader="none" w:pos="8640"/>
      </w:tabs>
      <w:rPr>
        <w:color w:val="000000"/>
        <w:sz w:val="22"/>
        <w:szCs w:val="22"/>
      </w:rPr>
    </w:pPr>
    <w:r w:rsidDel="00000000" w:rsidR="00000000" w:rsidRPr="00000000">
      <w:rPr>
        <w:color w:val="000000"/>
        <w:sz w:val="22"/>
        <w:szCs w:val="2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320"/>
        <w:tab w:val="right" w:leader="none" w:pos="8640"/>
        <w:tab w:val="left" w:leader="none" w:pos="2992"/>
        <w:tab w:val="right" w:leader="none" w:pos="8505"/>
      </w:tabs>
      <w:ind w:firstLine="1440"/>
      <w:rPr>
        <w:color w:val="000000"/>
        <w:sz w:val="22"/>
        <w:szCs w:val="22"/>
      </w:rPr>
    </w:pPr>
    <w:r w:rsidDel="00000000" w:rsidR="00000000" w:rsidRPr="00000000">
      <w:rPr>
        <w:color w:val="000000"/>
        <w:sz w:val="22"/>
        <w:szCs w:val="22"/>
        <w:rtl w:val="0"/>
      </w:rPr>
      <w:t xml:space="preserve">       </w:t>
    </w:r>
    <w:r w:rsidDel="00000000" w:rsidR="00000000" w:rsidRPr="00000000">
      <w:rPr>
        <w:rFonts w:ascii="Noto Sans Symbols" w:cs="Noto Sans Symbols" w:eastAsia="Noto Sans Symbols" w:hAnsi="Noto Sans Symbols"/>
        <w:color w:val="ffffff"/>
        <w:sz w:val="22"/>
        <w:szCs w:val="22"/>
        <w:rtl w:val="0"/>
      </w:rPr>
      <w:t xml:space="preserve">■</w:t>
    </w:r>
    <w:r w:rsidDel="00000000" w:rsidR="00000000" w:rsidRPr="00000000">
      <w:rPr>
        <w:color w:val="000000"/>
        <w:sz w:val="22"/>
        <w:szCs w:val="22"/>
        <w:rtl w:val="0"/>
      </w:rPr>
      <w:tab/>
      <w:t xml:space="preserve"> </w:t>
      <w:tab/>
      <w:t xml:space="preserve">       </w:t>
    </w:r>
    <w:r w:rsidDel="00000000" w:rsidR="00000000" w:rsidRPr="00000000">
      <w:rPr>
        <w:color w:val="ffffff"/>
        <w:sz w:val="22"/>
        <w:szCs w:val="22"/>
        <w:rtl w:val="0"/>
      </w:rPr>
      <w:t xml:space="preserve">ISSN: 1978-1520</w:t>
    </w:r>
    <w:r w:rsidDel="00000000" w:rsidR="00000000" w:rsidRPr="00000000">
      <w:rPr>
        <w:rtl w:val="0"/>
      </w:rPr>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-17778</wp:posOffset>
              </wp:positionH>
              <wp:positionV relativeFrom="paragraph">
                <wp:posOffset>182246</wp:posOffset>
              </wp:positionV>
              <wp:extent cx="0" cy="12700"/>
              <wp:effectExtent b="0" l="0" r="0" t="0"/>
              <wp:wrapNone/>
              <wp:docPr id="1178425001" name=""/>
              <a:graphic>
                <a:graphicData uri="http://schemas.microsoft.com/office/word/2010/wordprocessingShape">
                  <wps:wsp>
                    <wps:cNvCnPr/>
                    <wps:spPr>
                      <a:xfrm>
                        <a:off x="2614865" y="3780000"/>
                        <a:ext cx="546227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-17778</wp:posOffset>
              </wp:positionH>
              <wp:positionV relativeFrom="paragraph">
                <wp:posOffset>182246</wp:posOffset>
              </wp:positionV>
              <wp:extent cx="0" cy="12700"/>
              <wp:effectExtent b="0" l="0" r="0" t="0"/>
              <wp:wrapNone/>
              <wp:docPr id="117842500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pBdr>
        <w:top w:space="0" w:sz="0" w:val="nil"/>
        <w:left w:space="0" w:sz="0" w:val="nil"/>
        <w:bottom w:color="000000" w:space="1" w:sz="4" w:val="single"/>
        <w:right w:space="0" w:sz="0" w:val="nil"/>
        <w:between w:space="0" w:sz="0" w:val="nil"/>
      </w:pBdr>
      <w:tabs>
        <w:tab w:val="center" w:leader="none" w:pos="4320"/>
        <w:tab w:val="right" w:leader="none" w:pos="8640"/>
        <w:tab w:val="right" w:leader="none" w:pos="9071"/>
      </w:tabs>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JURNAL SOCIETAS: Jurnal Pengabdian Masyarakat</w:t>
      <w:tab/>
      <w:t xml:space="preserve"> Vol. 1, No. 1 </w:t>
    </w:r>
    <w:r w:rsidDel="00000000" w:rsidR="00000000" w:rsidRPr="00000000">
      <w:rPr>
        <w:rFonts w:ascii="Book Antiqua" w:cs="Book Antiqua" w:eastAsia="Book Antiqua" w:hAnsi="Book Antiqua"/>
        <w:rtl w:val="0"/>
      </w:rPr>
      <w:t xml:space="preserve">Special Issue</w:t>
    </w:r>
    <w:r w:rsidDel="00000000" w:rsidR="00000000" w:rsidRPr="00000000">
      <w:rPr>
        <w:rFonts w:ascii="Book Antiqua" w:cs="Book Antiqua" w:eastAsia="Book Antiqua" w:hAnsi="Book Antiqua"/>
        <w:color w:val="000000"/>
        <w:rtl w:val="0"/>
      </w:rPr>
      <w:t xml:space="preserve">, Hal. </w:t>
    </w:r>
    <w:r w:rsidDel="00000000" w:rsidR="00000000" w:rsidRPr="00000000">
      <w:rPr>
        <w:rFonts w:ascii="Book Antiqua" w:cs="Book Antiqua" w:eastAsia="Book Antiqua" w:hAnsi="Book Antiqua"/>
        <w:rtl w:val="0"/>
      </w:rPr>
      <w:t xml:space="preserve">224-230</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center" w:leader="none" w:pos="4320"/>
        <w:tab w:val="right" w:leader="none" w:pos="8640"/>
      </w:tabs>
      <w:rPr>
        <w:rFonts w:ascii="Book Antiqua" w:cs="Book Antiqua" w:eastAsia="Book Antiqua" w:hAnsi="Book Antiqua"/>
      </w:rPr>
    </w:pPr>
    <w:r w:rsidDel="00000000" w:rsidR="00000000" w:rsidRPr="00000000">
      <w:rPr>
        <w:rFonts w:ascii="Book Antiqua" w:cs="Book Antiqua" w:eastAsia="Book Antiqua" w:hAnsi="Book Antiqua"/>
        <w:color w:val="000000"/>
        <w:rtl w:val="0"/>
      </w:rPr>
      <w:t xml:space="preserve">Diterima:</w:t>
    </w:r>
    <w:r w:rsidDel="00000000" w:rsidR="00000000" w:rsidRPr="00000000">
      <w:rPr>
        <w:rFonts w:ascii="Book Antiqua" w:cs="Book Antiqua" w:eastAsia="Book Antiqua" w:hAnsi="Book Antiqua"/>
        <w:rtl w:val="0"/>
      </w:rPr>
      <w:t xml:space="preserve">06/07/2026                        Direvisi: 27/07/2026</w:t>
      <w:tab/>
      <w:t xml:space="preserve">          Publikasi: 03/08/2026</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center" w:leader="none" w:pos="4320"/>
        <w:tab w:val="right" w:leader="none" w:pos="8640"/>
      </w:tabs>
      <w:ind w:right="45"/>
      <w:rPr>
        <w:color w:val="000000"/>
        <w:sz w:val="22"/>
        <w:szCs w:val="22"/>
      </w:rPr>
    </w:pPr>
    <w:r w:rsidDel="00000000" w:rsidR="00000000" w:rsidRPr="00000000">
      <w:rPr>
        <w:color w:val="000000"/>
        <w:sz w:val="22"/>
        <w:szCs w:val="22"/>
        <w:rtl w:val="0"/>
      </w:rPr>
      <w:t xml:space="preserve">DINAMISIA</w:t>
      <w:tab/>
      <w:tab/>
      <w:tab/>
      <w:tab/>
      <w:tab/>
      <w:tab/>
      <w:tab/>
      <w:tab/>
      <w:tab/>
      <w:t xml:space="preserve">Vol. I No. 1 Des 2017</w:t>
      <w:tab/>
    </w:r>
  </w:p>
  <w:p w:rsidR="00000000" w:rsidDel="00000000" w:rsidP="00000000" w:rsidRDefault="00000000" w:rsidRPr="00000000" w14:paraId="0000003B">
    <w:pPr>
      <w:pBdr>
        <w:top w:space="0" w:sz="0" w:val="nil"/>
        <w:left w:space="0" w:sz="0" w:val="nil"/>
        <w:bottom w:color="000000" w:space="1" w:sz="4" w:val="single"/>
        <w:right w:space="0" w:sz="0" w:val="nil"/>
        <w:between w:space="0" w:sz="0" w:val="nil"/>
      </w:pBdr>
      <w:tabs>
        <w:tab w:val="center" w:leader="none" w:pos="4320"/>
        <w:tab w:val="right" w:leader="none" w:pos="8640"/>
      </w:tabs>
      <w:ind w:right="45"/>
      <w:rPr>
        <w:color w:val="000000"/>
        <w:sz w:val="22"/>
        <w:szCs w:val="22"/>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center" w:leader="none" w:pos="4320"/>
        <w:tab w:val="right" w:leader="none" w:pos="8640"/>
      </w:tabs>
      <w:ind w:right="45"/>
      <w:rPr>
        <w:color w:val="000000"/>
        <w:sz w:val="22"/>
        <w:szCs w:val="22"/>
      </w:rPr>
    </w:pPr>
    <w:r w:rsidDel="00000000" w:rsidR="00000000" w:rsidRPr="00000000">
      <w:rPr>
        <w:color w:val="000000"/>
        <w:sz w:val="22"/>
        <w:szCs w:val="22"/>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120" w:before="480" w:lineRule="auto"/>
    </w:pPr>
    <w:rPr>
      <w:rFonts w:ascii="Cambria" w:cs="Cambria" w:eastAsia="Cambria" w:hAnsi="Cambria"/>
      <w:b w:val="1"/>
      <w:bCs w:val="1"/>
      <w:sz w:val="22"/>
      <w:szCs w:val="22"/>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sz w:val="28"/>
      <w:szCs w:val="28"/>
    </w:rPr>
  </w:style>
  <w:style w:type="paragraph" w:styleId="Heading3">
    <w:name w:val="heading 3"/>
    <w:basedOn w:val="Normal"/>
    <w:next w:val="Normal"/>
    <w:pPr>
      <w:keepNext w:val="1"/>
      <w:spacing w:after="60" w:before="240" w:lineRule="auto"/>
    </w:pPr>
    <w:rPr>
      <w:rFonts w:ascii="Arial" w:cs="Arial" w:eastAsia="Arial" w:hAnsi="Arial"/>
      <w:b w:val="1"/>
      <w:bCs w:val="1"/>
      <w:sz w:val="26"/>
      <w:szCs w:val="26"/>
    </w:rPr>
  </w:style>
  <w:style w:type="paragraph" w:styleId="Heading4">
    <w:name w:val="heading 4"/>
    <w:basedOn w:val="Normal"/>
    <w:next w:val="Normal"/>
    <w:pPr>
      <w:keepNext w:val="1"/>
      <w:spacing w:after="60" w:before="240" w:lineRule="auto"/>
    </w:pPr>
    <w:rPr>
      <w:b w:val="1"/>
      <w:bCs w:val="1"/>
      <w:sz w:val="28"/>
      <w:szCs w:val="28"/>
    </w:rPr>
  </w:style>
  <w:style w:type="paragraph" w:styleId="Heading5">
    <w:name w:val="heading 5"/>
    <w:basedOn w:val="Normal"/>
    <w:next w:val="Normal"/>
    <w:pPr>
      <w:spacing w:after="60" w:before="240" w:lineRule="auto"/>
    </w:pPr>
    <w:rPr>
      <w:b w:val="1"/>
      <w:bCs w:val="1"/>
      <w:i w:val="1"/>
      <w:iCs w:val="1"/>
      <w:sz w:val="26"/>
      <w:szCs w:val="26"/>
    </w:rPr>
  </w:style>
  <w:style w:type="paragraph" w:styleId="Heading6">
    <w:name w:val="heading 6"/>
    <w:basedOn w:val="Normal"/>
    <w:next w:val="Normal"/>
    <w:pPr>
      <w:keepNext w:val="1"/>
      <w:jc w:val="center"/>
    </w:pPr>
    <w:rPr>
      <w:b w:val="1"/>
      <w:bCs w:val="1"/>
      <w:i w:val="1"/>
      <w:iCs w:val="1"/>
      <w:u w:val="single"/>
    </w:rPr>
  </w:style>
  <w:style w:type="paragraph" w:styleId="Title">
    <w:name w:val="Title"/>
    <w:basedOn w:val="Normal"/>
    <w:next w:val="Normal"/>
    <w:pPr>
      <w:jc w:val="center"/>
    </w:pPr>
    <w:rPr>
      <w:b w:val="1"/>
      <w:bCs w:val="1"/>
      <w:sz w:val="28"/>
      <w:szCs w:val="28"/>
    </w:rPr>
  </w:style>
  <w:style w:type="paragraph" w:styleId="Judul7">
    <w:name w:val="heading 7"/>
    <w:basedOn w:val="Normal"/>
    <w:next w:val="Normal"/>
    <w:qFormat w:val="1"/>
    <w:rsid w:val="00DB3D8C"/>
    <w:pPr>
      <w:spacing w:after="60" w:before="240"/>
      <w:outlineLvl w:val="6"/>
    </w:pPr>
    <w:rPr>
      <w:sz w:val="24"/>
      <w:szCs w:val="24"/>
    </w:rPr>
  </w:style>
  <w:style w:type="paragraph" w:styleId="Judul8">
    <w:name w:val="heading 8"/>
    <w:basedOn w:val="Normal"/>
    <w:next w:val="Normal"/>
    <w:qFormat w:val="1"/>
    <w:rsid w:val="00097958"/>
    <w:pPr>
      <w:keepNext w:val="1"/>
      <w:outlineLvl w:val="7"/>
    </w:pPr>
    <w:rPr>
      <w:b w:val="1"/>
      <w:bCs w:val="1"/>
      <w:lang w:eastAsia="pl-PL" w:val="pl-PL"/>
    </w:rPr>
  </w:style>
  <w:style w:type="paragraph" w:styleId="Judul9">
    <w:name w:val="heading 9"/>
    <w:basedOn w:val="Normal"/>
    <w:next w:val="Normal"/>
    <w:qFormat w:val="1"/>
    <w:rsid w:val="00097958"/>
    <w:pPr>
      <w:keepNext w:val="1"/>
      <w:ind w:right="-4041"/>
      <w:outlineLvl w:val="8"/>
    </w:pPr>
    <w:rPr>
      <w:b w:val="1"/>
      <w:bCs w:val="1"/>
      <w:lang w:eastAsia="pl-PL" w:val="en-AU"/>
    </w:rPr>
  </w:style>
  <w:style w:type="character" w:styleId="FontParagrafDefaul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TidakAdaDaftar"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KisiTabel">
    <w:name w:val="Table Grid"/>
    <w:basedOn w:val="TabelNormal"/>
    <w:uiPriority w:val="59"/>
    <w:qFormat w:val="1"/>
    <w:rsid w:val="004740E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rsid w:val="00102A61"/>
    <w:rPr>
      <w:color w:val="0000ff"/>
      <w:u w:val="single"/>
    </w:rPr>
  </w:style>
  <w:style w:type="paragraph" w:styleId="Header">
    <w:name w:val="header"/>
    <w:basedOn w:val="Normal"/>
    <w:link w:val="HeaderKAR"/>
    <w:rsid w:val="0094367D"/>
    <w:pPr>
      <w:tabs>
        <w:tab w:val="center" w:pos="4320"/>
        <w:tab w:val="right" w:pos="8640"/>
      </w:tabs>
    </w:pPr>
  </w:style>
  <w:style w:type="paragraph" w:styleId="Footer">
    <w:name w:val="footer"/>
    <w:basedOn w:val="Normal"/>
    <w:link w:val="FooterKAR"/>
    <w:uiPriority w:val="99"/>
    <w:rsid w:val="0094367D"/>
    <w:pPr>
      <w:tabs>
        <w:tab w:val="center" w:pos="4320"/>
        <w:tab w:val="right" w:pos="8640"/>
      </w:tabs>
    </w:pPr>
  </w:style>
  <w:style w:type="character" w:styleId="NomorHalaman">
    <w:name w:val="page number"/>
    <w:basedOn w:val="FontParagrafDefault"/>
    <w:rsid w:val="0094367D"/>
  </w:style>
  <w:style w:type="paragraph" w:styleId="TeksBalon">
    <w:name w:val="Balloon Text"/>
    <w:basedOn w:val="Normal"/>
    <w:semiHidden w:val="1"/>
    <w:rsid w:val="00061D77"/>
    <w:rPr>
      <w:rFonts w:ascii="Tahoma" w:hAnsi="Tahoma"/>
      <w:sz w:val="16"/>
      <w:szCs w:val="16"/>
    </w:rPr>
  </w:style>
  <w:style w:type="paragraph" w:styleId="IndenTeksIsi">
    <w:name w:val="Body Text Indent"/>
    <w:basedOn w:val="Normal"/>
    <w:rsid w:val="00C15A56"/>
    <w:pPr>
      <w:spacing w:line="360" w:lineRule="auto"/>
      <w:ind w:left="456" w:firstLine="984"/>
      <w:jc w:val="both"/>
    </w:pPr>
    <w:rPr>
      <w:lang w:val="id-ID"/>
    </w:rPr>
  </w:style>
  <w:style w:type="paragraph" w:styleId="IndenTeksIsi2">
    <w:name w:val="Body Text Indent 2"/>
    <w:basedOn w:val="Normal"/>
    <w:rsid w:val="00C15A56"/>
    <w:pPr>
      <w:spacing w:after="120" w:line="480" w:lineRule="auto"/>
      <w:ind w:left="360"/>
    </w:pPr>
  </w:style>
  <w:style w:type="paragraph" w:styleId="TeksIsi">
    <w:name w:val="Body Text"/>
    <w:basedOn w:val="Normal"/>
    <w:rsid w:val="00C15A56"/>
    <w:pPr>
      <w:spacing w:after="120"/>
    </w:pPr>
    <w:rPr>
      <w:lang w:val="id-ID"/>
    </w:rPr>
  </w:style>
  <w:style w:type="paragraph" w:styleId="Keterangan">
    <w:name w:val="caption"/>
    <w:basedOn w:val="Normal"/>
    <w:next w:val="Normal"/>
    <w:qFormat w:val="1"/>
    <w:rsid w:val="00C15A56"/>
    <w:pPr>
      <w:spacing w:line="480" w:lineRule="auto"/>
      <w:jc w:val="center"/>
    </w:pPr>
    <w:rPr>
      <w:i w:val="1"/>
      <w:iCs w:val="1"/>
    </w:rPr>
  </w:style>
  <w:style w:type="character" w:styleId="ReferensiCatatanKaki">
    <w:name w:val="footnote reference"/>
    <w:semiHidden w:val="1"/>
    <w:rsid w:val="00FA0403"/>
    <w:rPr>
      <w:vertAlign w:val="superscript"/>
    </w:rPr>
  </w:style>
  <w:style w:type="paragraph" w:styleId="TeksCatatanKaki">
    <w:name w:val="footnote text"/>
    <w:basedOn w:val="Normal"/>
    <w:semiHidden w:val="1"/>
    <w:rsid w:val="00FA0403"/>
    <w:rPr>
      <w:rFonts w:cs="Traditional Arabic"/>
      <w:lang w:eastAsia="ko-KR"/>
    </w:rPr>
  </w:style>
  <w:style w:type="paragraph" w:styleId="Judulbab" w:customStyle="1">
    <w:name w:val="Judul bab"/>
    <w:basedOn w:val="Normal"/>
    <w:rsid w:val="004710EE"/>
    <w:pPr>
      <w:spacing w:line="475" w:lineRule="atLeast"/>
      <w:jc w:val="center"/>
    </w:pPr>
    <w:rPr>
      <w:b w:val="1"/>
      <w:sz w:val="32"/>
    </w:rPr>
  </w:style>
  <w:style w:type="paragraph" w:styleId="IsiBabforKomputek" w:customStyle="1">
    <w:name w:val="Isi Bab for Komputek"/>
    <w:basedOn w:val="Normal"/>
    <w:rsid w:val="004710EE"/>
    <w:pPr>
      <w:ind w:firstLine="720"/>
      <w:jc w:val="both"/>
    </w:pPr>
  </w:style>
  <w:style w:type="paragraph" w:styleId="tole" w:customStyle="1">
    <w:name w:val="tole"/>
    <w:basedOn w:val="Normal"/>
    <w:rsid w:val="00E91546"/>
    <w:pPr>
      <w:jc w:val="center"/>
      <w:outlineLvl w:val="0"/>
    </w:pPr>
    <w:rPr>
      <w:b w:val="1"/>
      <w:bCs w:val="1"/>
      <w:sz w:val="28"/>
      <w:szCs w:val="28"/>
    </w:rPr>
  </w:style>
  <w:style w:type="paragraph" w:styleId="tolesBold" w:customStyle="1">
    <w:name w:val="toles + Bold"/>
    <w:aliases w:val="Line spacing:  single"/>
    <w:basedOn w:val="Normal"/>
    <w:rsid w:val="00E91546"/>
    <w:pPr>
      <w:jc w:val="center"/>
      <w:outlineLvl w:val="0"/>
    </w:pPr>
    <w:rPr>
      <w:i w:val="1"/>
      <w:iCs w:val="1"/>
      <w:sz w:val="24"/>
      <w:szCs w:val="24"/>
    </w:rPr>
  </w:style>
  <w:style w:type="paragraph" w:styleId="toleLinespacingsingle" w:customStyle="1">
    <w:name w:val="tole + Line spacing:  single"/>
    <w:basedOn w:val="Normal"/>
    <w:rsid w:val="00E91546"/>
    <w:pPr>
      <w:jc w:val="both"/>
    </w:pPr>
    <w:rPr>
      <w:sz w:val="24"/>
      <w:szCs w:val="24"/>
    </w:rPr>
  </w:style>
  <w:style w:type="paragraph" w:styleId="bunga" w:customStyle="1">
    <w:name w:val="bunga"/>
    <w:basedOn w:val="Normal"/>
    <w:rsid w:val="00E91546"/>
    <w:pPr>
      <w:jc w:val="both"/>
    </w:pPr>
    <w:rPr>
      <w:rFonts w:ascii="Arial" w:cs="Arial" w:hAnsi="Arial"/>
      <w:szCs w:val="24"/>
    </w:rPr>
  </w:style>
  <w:style w:type="paragraph" w:styleId="bunga2" w:customStyle="1">
    <w:name w:val="bunga2"/>
    <w:basedOn w:val="Normal"/>
    <w:rsid w:val="00E91546"/>
    <w:pPr>
      <w:jc w:val="both"/>
      <w:outlineLvl w:val="0"/>
    </w:pPr>
    <w:rPr>
      <w:rFonts w:ascii="Arial" w:cs="Arial" w:hAnsi="Arial"/>
      <w:b w:val="1"/>
      <w:bCs w:val="1"/>
      <w:szCs w:val="24"/>
    </w:rPr>
  </w:style>
  <w:style w:type="paragraph" w:styleId="DiQi" w:customStyle="1">
    <w:name w:val="DiQi"/>
    <w:basedOn w:val="Normal"/>
    <w:rsid w:val="00DA0390"/>
    <w:pPr>
      <w:spacing w:line="360" w:lineRule="auto"/>
      <w:jc w:val="both"/>
    </w:pPr>
    <w:rPr>
      <w:sz w:val="24"/>
      <w:szCs w:val="24"/>
    </w:rPr>
  </w:style>
  <w:style w:type="paragraph" w:styleId="tole3" w:customStyle="1">
    <w:name w:val="tole3"/>
    <w:basedOn w:val="DiQi"/>
    <w:rsid w:val="00DA0390"/>
    <w:pPr>
      <w:spacing w:line="240" w:lineRule="auto"/>
      <w:outlineLvl w:val="0"/>
    </w:pPr>
    <w:rPr>
      <w:rFonts w:ascii="Arial" w:cs="Arial" w:hAnsi="Arial"/>
      <w:b w:val="1"/>
      <w:bCs w:val="1"/>
      <w:sz w:val="20"/>
    </w:rPr>
  </w:style>
  <w:style w:type="paragraph" w:styleId="yange" w:customStyle="1">
    <w:name w:val="yange"/>
    <w:basedOn w:val="DiQi"/>
    <w:rsid w:val="00DA0390"/>
    <w:pPr>
      <w:spacing w:line="240" w:lineRule="auto"/>
      <w:ind w:left="360"/>
    </w:pPr>
    <w:rPr>
      <w:rFonts w:ascii="Arial" w:cs="Arial" w:hAnsi="Arial"/>
      <w:sz w:val="20"/>
    </w:rPr>
  </w:style>
  <w:style w:type="paragraph" w:styleId="yange2" w:customStyle="1">
    <w:name w:val="yange2"/>
    <w:basedOn w:val="DiQi"/>
    <w:rsid w:val="00DA0390"/>
    <w:pPr>
      <w:numPr>
        <w:numId w:val="1"/>
      </w:numPr>
      <w:spacing w:line="240" w:lineRule="auto"/>
    </w:pPr>
    <w:rPr>
      <w:rFonts w:ascii="Arial" w:cs="Arial" w:hAnsi="Arial"/>
      <w:sz w:val="20"/>
    </w:rPr>
  </w:style>
  <w:style w:type="paragraph" w:styleId="JossTole" w:customStyle="1">
    <w:name w:val="JossTole"/>
    <w:basedOn w:val="DiQi"/>
    <w:rsid w:val="00DA0390"/>
    <w:pPr>
      <w:spacing w:line="240" w:lineRule="auto"/>
      <w:ind w:firstLine="709"/>
    </w:pPr>
    <w:rPr>
      <w:rFonts w:ascii="Arial" w:cs="Arial" w:hAnsi="Arial"/>
      <w:sz w:val="20"/>
    </w:rPr>
  </w:style>
  <w:style w:type="paragraph" w:styleId="Daftar">
    <w:name w:val="List"/>
    <w:basedOn w:val="Normal"/>
    <w:rsid w:val="00DA0390"/>
    <w:pPr>
      <w:ind w:left="360" w:hanging="360"/>
      <w:jc w:val="center"/>
    </w:pPr>
    <w:rPr>
      <w:sz w:val="24"/>
      <w:szCs w:val="24"/>
    </w:rPr>
  </w:style>
  <w:style w:type="paragraph" w:styleId="IndenTeksIsi3">
    <w:name w:val="Body Text Indent 3"/>
    <w:basedOn w:val="Normal"/>
    <w:rsid w:val="00DB3D8C"/>
    <w:pPr>
      <w:spacing w:after="120"/>
      <w:ind w:left="360"/>
    </w:pPr>
    <w:rPr>
      <w:sz w:val="16"/>
      <w:szCs w:val="16"/>
    </w:rPr>
  </w:style>
  <w:style w:type="paragraph" w:styleId="Body0" w:customStyle="1">
    <w:name w:val="Body 0"/>
    <w:basedOn w:val="Normal"/>
    <w:rsid w:val="00DB3D8C"/>
    <w:pPr>
      <w:spacing w:line="360" w:lineRule="atLeast"/>
      <w:jc w:val="both"/>
    </w:pPr>
    <w:rPr>
      <w:rFonts w:ascii="Palatino" w:hAnsi="Palatino"/>
      <w:sz w:val="24"/>
      <w:szCs w:val="24"/>
    </w:rPr>
  </w:style>
  <w:style w:type="paragraph" w:styleId="TeksIsi2">
    <w:name w:val="Body Text 2"/>
    <w:basedOn w:val="Normal"/>
    <w:rsid w:val="005E736A"/>
    <w:pPr>
      <w:spacing w:after="120" w:line="480" w:lineRule="auto"/>
    </w:pPr>
  </w:style>
  <w:style w:type="paragraph" w:styleId="AutoBiography" w:customStyle="1">
    <w:name w:val="AutoBiography"/>
    <w:basedOn w:val="Normal"/>
    <w:rsid w:val="004E154B"/>
    <w:pPr>
      <w:jc w:val="both"/>
    </w:pPr>
    <w:rPr>
      <w:rFonts w:cs="Angsana New" w:eastAsia="MS Mincho"/>
      <w:sz w:val="18"/>
      <w:szCs w:val="18"/>
      <w:lang w:bidi="th-TH"/>
    </w:rPr>
  </w:style>
  <w:style w:type="paragraph" w:styleId="Default" w:customStyle="1">
    <w:name w:val="Default"/>
    <w:rsid w:val="004E154B"/>
    <w:pPr>
      <w:widowControl w:val="0"/>
      <w:autoSpaceDE w:val="0"/>
      <w:autoSpaceDN w:val="0"/>
      <w:adjustRightInd w:val="0"/>
    </w:pPr>
    <w:rPr>
      <w:rFonts w:cs="Angsana New"/>
      <w:color w:val="000000"/>
      <w:sz w:val="24"/>
      <w:szCs w:val="24"/>
    </w:rPr>
  </w:style>
  <w:style w:type="paragraph" w:styleId="SectionTitle" w:customStyle="1">
    <w:name w:val="Section Title"/>
    <w:basedOn w:val="Normal"/>
    <w:autoRedefine w:val="1"/>
    <w:rsid w:val="00771A7C"/>
    <w:pPr>
      <w:snapToGrid w:val="0"/>
      <w:jc w:val="both"/>
    </w:pPr>
    <w:rPr>
      <w:rFonts w:cs="Angsana New" w:eastAsia="MS Mincho"/>
      <w:lang w:bidi="th-TH" w:val="en-GB"/>
    </w:rPr>
  </w:style>
  <w:style w:type="paragraph" w:styleId="Style10ptJustified" w:customStyle="1">
    <w:name w:val="Style 10 pt Justified"/>
    <w:basedOn w:val="Normal"/>
    <w:link w:val="Style10ptJustifiedChar"/>
    <w:autoRedefine w:val="1"/>
    <w:rsid w:val="00353885"/>
    <w:pPr>
      <w:snapToGrid w:val="0"/>
      <w:ind w:firstLine="720"/>
      <w:jc w:val="both"/>
    </w:pPr>
    <w:rPr>
      <w:rFonts w:ascii="Arial" w:cs="Arial" w:eastAsia="MS Mincho" w:hAnsi="Arial"/>
      <w:iCs w:val="1"/>
      <w:lang w:val="en-GB"/>
    </w:rPr>
  </w:style>
  <w:style w:type="character" w:styleId="Style10ptJustifiedChar" w:customStyle="1">
    <w:name w:val="Style 10 pt Justified Char"/>
    <w:link w:val="Style10ptJustified"/>
    <w:rsid w:val="00353885"/>
    <w:rPr>
      <w:rFonts w:ascii="Arial" w:cs="Arial" w:eastAsia="MS Mincho" w:hAnsi="Arial"/>
      <w:iCs w:val="1"/>
      <w:lang w:bidi="ar-SA" w:eastAsia="en-US" w:val="en-GB"/>
    </w:rPr>
  </w:style>
  <w:style w:type="paragraph" w:styleId="paperbody" w:customStyle="1">
    <w:name w:val="paper body"/>
    <w:basedOn w:val="Normal"/>
    <w:rsid w:val="00097958"/>
    <w:pPr>
      <w:jc w:val="both"/>
    </w:pPr>
    <w:rPr>
      <w:sz w:val="24"/>
      <w:szCs w:val="24"/>
      <w:lang w:val="en-AU"/>
    </w:rPr>
  </w:style>
  <w:style w:type="paragraph" w:styleId="TeksBiasa">
    <w:name w:val="Plain Text"/>
    <w:basedOn w:val="Normal"/>
    <w:semiHidden w:val="1"/>
    <w:rsid w:val="00097958"/>
    <w:rPr>
      <w:rFonts w:ascii="Courier New" w:eastAsia="BatangChe" w:hAnsi="Courier New"/>
      <w:sz w:val="24"/>
      <w:szCs w:val="24"/>
    </w:rPr>
  </w:style>
  <w:style w:type="character" w:styleId="CharChar" w:customStyle="1">
    <w:name w:val="Char Char"/>
    <w:rsid w:val="00097958"/>
    <w:rPr>
      <w:rFonts w:ascii="Courier New" w:eastAsia="BatangChe" w:hAnsi="Courier New"/>
      <w:sz w:val="24"/>
      <w:szCs w:val="24"/>
      <w:lang w:eastAsia="en-US" w:val="en-US"/>
    </w:rPr>
  </w:style>
  <w:style w:type="paragraph" w:styleId="Body" w:customStyle="1">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styleId="Reference" w:customStyle="1">
    <w:name w:val="Reference"/>
    <w:basedOn w:val="Normal"/>
    <w:rsid w:val="00097958"/>
    <w:pPr>
      <w:widowControl w:val="0"/>
      <w:autoSpaceDE w:val="0"/>
      <w:autoSpaceDN w:val="0"/>
      <w:adjustRightInd w:val="0"/>
      <w:spacing w:after="60" w:before="60"/>
      <w:ind w:left="288" w:hanging="288"/>
      <w:jc w:val="both"/>
      <w:textAlignment w:val="baseline"/>
    </w:pPr>
    <w:rPr>
      <w:rFonts w:eastAsia="BatangChe"/>
      <w:lang w:eastAsia="ko-KR"/>
    </w:rPr>
  </w:style>
  <w:style w:type="paragraph" w:styleId="Demenko" w:customStyle="1">
    <w:name w:val="Demenko"/>
    <w:basedOn w:val="Normal"/>
    <w:rsid w:val="00097958"/>
    <w:pPr>
      <w:widowControl w:val="0"/>
      <w:tabs>
        <w:tab w:val="left" w:pos="567"/>
        <w:tab w:val="center" w:pos="4820"/>
        <w:tab w:val="right" w:pos="9639"/>
      </w:tabs>
      <w:spacing w:after="113" w:line="360" w:lineRule="auto"/>
      <w:jc w:val="both"/>
    </w:pPr>
    <w:rPr>
      <w:sz w:val="22"/>
      <w:szCs w:val="22"/>
      <w:lang w:eastAsia="pl-PL" w:val="en-GB"/>
    </w:rPr>
  </w:style>
  <w:style w:type="paragraph" w:styleId="Text" w:customStyle="1">
    <w:name w:val="Text"/>
    <w:basedOn w:val="Normal"/>
    <w:rsid w:val="00097958"/>
    <w:pPr>
      <w:widowControl w:val="0"/>
      <w:autoSpaceDE w:val="0"/>
      <w:autoSpaceDN w:val="0"/>
      <w:spacing w:line="252" w:lineRule="auto"/>
      <w:ind w:firstLine="202"/>
      <w:jc w:val="both"/>
    </w:pPr>
    <w:rPr>
      <w:rFonts w:eastAsia="Batang"/>
      <w:lang w:eastAsia="ko-KR"/>
    </w:rPr>
  </w:style>
  <w:style w:type="paragraph" w:styleId="Equation" w:customStyle="1">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styleId="TableTitle" w:customStyle="1">
    <w:name w:val="Table Title"/>
    <w:basedOn w:val="Normal"/>
    <w:rsid w:val="00097958"/>
    <w:pPr>
      <w:jc w:val="center"/>
    </w:pPr>
    <w:rPr>
      <w:smallCaps w:val="1"/>
      <w:sz w:val="16"/>
      <w:szCs w:val="16"/>
    </w:rPr>
  </w:style>
  <w:style w:type="paragraph" w:styleId="Sub-titles" w:customStyle="1">
    <w:name w:val="Sub-titles"/>
    <w:basedOn w:val="Normal"/>
    <w:rsid w:val="00097958"/>
    <w:pPr>
      <w:jc w:val="both"/>
    </w:pPr>
    <w:rPr>
      <w:b w:val="1"/>
      <w:bCs w:val="1"/>
      <w:color w:val="000000"/>
      <w:sz w:val="24"/>
      <w:szCs w:val="24"/>
      <w:lang w:eastAsia="pt-PT" w:val="pt-PT"/>
    </w:rPr>
  </w:style>
  <w:style w:type="paragraph" w:styleId="text0" w:customStyle="1">
    <w:name w:val="text"/>
    <w:basedOn w:val="Normal"/>
    <w:rsid w:val="00097958"/>
    <w:pPr>
      <w:ind w:firstLine="227"/>
      <w:jc w:val="both"/>
    </w:pPr>
  </w:style>
  <w:style w:type="paragraph" w:styleId="tables" w:customStyle="1">
    <w:name w:val="tables"/>
    <w:basedOn w:val="Normal"/>
    <w:rsid w:val="00097958"/>
    <w:pPr>
      <w:jc w:val="both"/>
    </w:pPr>
    <w:rPr>
      <w:sz w:val="18"/>
      <w:szCs w:val="18"/>
    </w:rPr>
  </w:style>
  <w:style w:type="character" w:styleId="Kuat">
    <w:name w:val="Strong"/>
    <w:uiPriority w:val="22"/>
    <w:qFormat w:val="1"/>
    <w:rsid w:val="00335BE8"/>
    <w:rPr>
      <w:rFonts w:cs="Times New Roman"/>
      <w:b w:val="1"/>
      <w:bCs w:val="1"/>
    </w:rPr>
  </w:style>
  <w:style w:type="paragraph" w:styleId="NormalWeb">
    <w:name w:val="Normal (Web)"/>
    <w:basedOn w:val="Normal"/>
    <w:uiPriority w:val="99"/>
    <w:rsid w:val="00232DA1"/>
    <w:pPr>
      <w:spacing w:after="100" w:afterAutospacing="1" w:before="100" w:beforeAutospacing="1"/>
    </w:pPr>
    <w:rPr>
      <w:sz w:val="24"/>
      <w:szCs w:val="24"/>
    </w:rPr>
  </w:style>
  <w:style w:type="character" w:styleId="Penekanan">
    <w:name w:val="Emphasis"/>
    <w:uiPriority w:val="20"/>
    <w:qFormat w:val="1"/>
    <w:rsid w:val="00232DA1"/>
    <w:rPr>
      <w:i w:val="1"/>
      <w:iCs w:val="1"/>
    </w:rPr>
  </w:style>
  <w:style w:type="paragraph" w:styleId="Abstract" w:customStyle="1">
    <w:name w:val="Abstract"/>
    <w:rsid w:val="007017C6"/>
    <w:pPr>
      <w:spacing w:after="200"/>
      <w:jc w:val="both"/>
    </w:pPr>
    <w:rPr>
      <w:rFonts w:eastAsia="SimSun"/>
      <w:b w:val="1"/>
      <w:sz w:val="18"/>
    </w:rPr>
  </w:style>
  <w:style w:type="paragraph" w:styleId="Affiliation" w:customStyle="1">
    <w:name w:val="Affiliation"/>
    <w:rsid w:val="007017C6"/>
    <w:pPr>
      <w:jc w:val="center"/>
    </w:pPr>
    <w:rPr>
      <w:rFonts w:eastAsia="SimSun"/>
    </w:rPr>
  </w:style>
  <w:style w:type="paragraph" w:styleId="equation0" w:customStyle="1">
    <w:name w:val="equation"/>
    <w:basedOn w:val="Normal"/>
    <w:rsid w:val="007017C6"/>
    <w:pPr>
      <w:tabs>
        <w:tab w:val="center" w:pos="2520"/>
        <w:tab w:val="right" w:pos="5040"/>
      </w:tabs>
      <w:spacing w:after="240" w:before="240" w:line="216" w:lineRule="auto"/>
      <w:jc w:val="center"/>
    </w:pPr>
    <w:rPr>
      <w:rFonts w:eastAsia="SimSun"/>
    </w:rPr>
  </w:style>
  <w:style w:type="paragraph" w:styleId="figurecaption" w:customStyle="1">
    <w:name w:val="figure caption"/>
    <w:rsid w:val="007017C6"/>
    <w:pPr>
      <w:spacing w:after="200" w:before="80"/>
      <w:jc w:val="center"/>
    </w:pPr>
    <w:rPr>
      <w:rFonts w:eastAsia="SimSun"/>
      <w:sz w:val="16"/>
    </w:rPr>
  </w:style>
  <w:style w:type="paragraph" w:styleId="papertitle" w:customStyle="1">
    <w:name w:val="paper title"/>
    <w:rsid w:val="007017C6"/>
    <w:pPr>
      <w:spacing w:after="120"/>
      <w:jc w:val="center"/>
    </w:pPr>
    <w:rPr>
      <w:rFonts w:eastAsia="SimSun"/>
      <w:sz w:val="48"/>
    </w:rPr>
  </w:style>
  <w:style w:type="paragraph" w:styleId="references" w:customStyle="1">
    <w:name w:val="references"/>
    <w:rsid w:val="007017C6"/>
    <w:pPr>
      <w:tabs>
        <w:tab w:val="num" w:pos="720"/>
      </w:tabs>
      <w:spacing w:after="40" w:line="180" w:lineRule="exact"/>
      <w:ind w:left="720" w:hanging="720"/>
      <w:jc w:val="both"/>
    </w:pPr>
    <w:rPr>
      <w:rFonts w:eastAsia="SimSun"/>
      <w:sz w:val="16"/>
    </w:rPr>
  </w:style>
  <w:style w:type="paragraph" w:styleId="tablecolsubhead" w:customStyle="1">
    <w:name w:val="table col subhead"/>
    <w:basedOn w:val="Normal"/>
    <w:rsid w:val="007017C6"/>
    <w:pPr>
      <w:jc w:val="center"/>
    </w:pPr>
    <w:rPr>
      <w:rFonts w:eastAsia="SimSun"/>
      <w:b w:val="1"/>
      <w:i w:val="1"/>
      <w:sz w:val="15"/>
    </w:rPr>
  </w:style>
  <w:style w:type="paragraph" w:styleId="tablecopy" w:customStyle="1">
    <w:name w:val="table copy"/>
    <w:rsid w:val="007017C6"/>
    <w:pPr>
      <w:jc w:val="both"/>
    </w:pPr>
    <w:rPr>
      <w:rFonts w:eastAsia="SimSun"/>
      <w:sz w:val="16"/>
    </w:rPr>
  </w:style>
  <w:style w:type="paragraph" w:styleId="tablehead" w:customStyle="1">
    <w:name w:val="table head"/>
    <w:rsid w:val="007017C6"/>
    <w:pPr>
      <w:tabs>
        <w:tab w:val="num" w:pos="720"/>
      </w:tabs>
      <w:spacing w:after="120" w:before="240" w:line="216" w:lineRule="auto"/>
      <w:ind w:left="720" w:hanging="720"/>
      <w:jc w:val="center"/>
    </w:pPr>
    <w:rPr>
      <w:rFonts w:eastAsia="SimSun"/>
      <w:smallCaps w:val="1"/>
      <w:sz w:val="16"/>
    </w:rPr>
  </w:style>
  <w:style w:type="character" w:styleId="shorttext" w:customStyle="1">
    <w:name w:val="short_text"/>
    <w:basedOn w:val="FontParagrafDefault"/>
    <w:rsid w:val="007017C6"/>
  </w:style>
  <w:style w:type="character" w:styleId="longtext" w:customStyle="1">
    <w:name w:val="long_text"/>
    <w:basedOn w:val="FontParagrafDefault"/>
    <w:rsid w:val="004947B9"/>
  </w:style>
  <w:style w:type="character" w:styleId="apple-style-span" w:customStyle="1">
    <w:name w:val="apple-style-span"/>
    <w:basedOn w:val="FontParagrafDefault"/>
    <w:rsid w:val="00C35B8F"/>
  </w:style>
  <w:style w:type="character" w:styleId="apple-converted-space" w:customStyle="1">
    <w:name w:val="apple-converted-space"/>
    <w:basedOn w:val="FontParagrafDefault"/>
    <w:rsid w:val="00C35B8F"/>
  </w:style>
  <w:style w:type="paragraph" w:styleId="HTMLSudahDiformat">
    <w:name w:val="HTML Preformatted"/>
    <w:basedOn w:val="Normal"/>
    <w:link w:val="HTMLSudahDiformatK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rPr>
  </w:style>
  <w:style w:type="paragraph" w:styleId="DaftarParagraf">
    <w:name w:val="List Paragraph"/>
    <w:basedOn w:val="Normal"/>
    <w:uiPriority w:val="34"/>
    <w:qFormat w:val="1"/>
    <w:rsid w:val="00C35B8F"/>
    <w:pPr>
      <w:spacing w:after="200" w:line="276" w:lineRule="auto"/>
      <w:ind w:left="720"/>
      <w:contextualSpacing w:val="1"/>
    </w:pPr>
    <w:rPr>
      <w:rFonts w:ascii="Calibri" w:hAnsi="Calibri"/>
      <w:sz w:val="22"/>
      <w:szCs w:val="22"/>
      <w:lang w:eastAsia="en-GB" w:val="en-GB"/>
    </w:rPr>
  </w:style>
  <w:style w:type="paragraph" w:styleId="TidakAdaSpasi">
    <w:name w:val="No Spacing"/>
    <w:qFormat w:val="1"/>
    <w:rsid w:val="00C35B8F"/>
    <w:rPr>
      <w:rFonts w:ascii="Calibri" w:eastAsia="Calibri" w:hAnsi="Calibri"/>
      <w:sz w:val="22"/>
      <w:szCs w:val="22"/>
    </w:rPr>
  </w:style>
  <w:style w:type="character" w:styleId="hps" w:customStyle="1">
    <w:name w:val="hps"/>
    <w:basedOn w:val="FontParagrafDefault"/>
    <w:rsid w:val="008F05B8"/>
  </w:style>
  <w:style w:type="character" w:styleId="atn" w:customStyle="1">
    <w:name w:val="atn"/>
    <w:basedOn w:val="FontParagrafDefault"/>
    <w:rsid w:val="00396CA7"/>
  </w:style>
  <w:style w:type="paragraph" w:styleId="ReferenceHead" w:customStyle="1">
    <w:name w:val="Reference Head"/>
    <w:basedOn w:val="Judul1"/>
    <w:rsid w:val="00DE7ADC"/>
    <w:pPr>
      <w:autoSpaceDE w:val="0"/>
      <w:autoSpaceDN w:val="0"/>
      <w:spacing w:after="80" w:before="240"/>
    </w:pPr>
    <w:rPr>
      <w:b w:val="0"/>
      <w:bCs w:val="0"/>
      <w:smallCaps w:val="1"/>
      <w:kern w:val="28"/>
    </w:rPr>
  </w:style>
  <w:style w:type="paragraph" w:styleId="IEEEReferenceItem" w:customStyle="1">
    <w:name w:val="IEEE Reference Item"/>
    <w:basedOn w:val="Normal"/>
    <w:rsid w:val="00DE7ADC"/>
    <w:pPr>
      <w:adjustRightInd w:val="0"/>
      <w:snapToGrid w:val="0"/>
      <w:ind w:left="360" w:hanging="360"/>
      <w:jc w:val="both"/>
    </w:pPr>
    <w:rPr>
      <w:rFonts w:eastAsia="SimSun"/>
      <w:sz w:val="16"/>
      <w:szCs w:val="24"/>
      <w:lang w:eastAsia="zh-CN"/>
    </w:rPr>
  </w:style>
  <w:style w:type="character" w:styleId="FooterKAR" w:customStyle="1">
    <w:name w:val="Footer KAR"/>
    <w:link w:val="Footer"/>
    <w:uiPriority w:val="99"/>
    <w:rsid w:val="00FE33F0"/>
  </w:style>
  <w:style w:type="character" w:styleId="HTMLSudahDiformatKAR" w:customStyle="1">
    <w:name w:val="HTML Sudah Diformat KAR"/>
    <w:link w:val="HTMLSudahDiformat"/>
    <w:uiPriority w:val="99"/>
    <w:rsid w:val="00F07E0A"/>
    <w:rPr>
      <w:rFonts w:ascii="Courier New" w:cs="Courier New" w:hAnsi="Courier New"/>
    </w:rPr>
  </w:style>
  <w:style w:type="character" w:styleId="HeaderKAR" w:customStyle="1">
    <w:name w:val="Header KAR"/>
    <w:link w:val="Header"/>
    <w:rsid w:val="00D97147"/>
  </w:style>
  <w:style w:type="character" w:styleId="UnresolvedMention1" w:customStyle="1">
    <w:name w:val="Unresolved Mention1"/>
    <w:uiPriority w:val="99"/>
    <w:semiHidden w:val="1"/>
    <w:unhideWhenUsed w:val="1"/>
    <w:rsid w:val="00E33889"/>
    <w:rPr>
      <w:color w:val="808080"/>
      <w:shd w:color="auto" w:fill="e6e6e6" w:val="clear"/>
    </w:rPr>
  </w:style>
  <w:style w:type="character" w:styleId="CharacterStyle1" w:customStyle="1">
    <w:name w:val="Character Style 1"/>
    <w:uiPriority w:val="99"/>
    <w:rsid w:val="00515E54"/>
    <w:rPr>
      <w:sz w:val="24"/>
      <w:szCs w:val="24"/>
    </w:rPr>
  </w:style>
  <w:style w:type="character" w:styleId="SubjudulKAR" w:customStyle="1">
    <w:name w:val="Subjudul KAR"/>
    <w:link w:val="Subjudul"/>
    <w:uiPriority w:val="11"/>
    <w:rsid w:val="00515E54"/>
    <w:rPr>
      <w:b w:val="1"/>
      <w:bCs w:val="1"/>
      <w:sz w:val="32"/>
      <w:szCs w:val="32"/>
      <w:lang w:val="en-GB"/>
    </w:rPr>
  </w:style>
  <w:style w:type="paragraph" w:styleId="Style1" w:customStyle="1">
    <w:name w:val="Style 1"/>
    <w:basedOn w:val="Normal"/>
    <w:uiPriority w:val="99"/>
    <w:rsid w:val="00747383"/>
    <w:pPr>
      <w:widowControl w:val="0"/>
      <w:autoSpaceDE w:val="0"/>
      <w:autoSpaceDN w:val="0"/>
      <w:adjustRightInd w:val="0"/>
    </w:pPr>
    <w:rPr>
      <w:sz w:val="24"/>
      <w:szCs w:val="24"/>
      <w:lang w:val="id-ID"/>
    </w:rPr>
  </w:style>
  <w:style w:type="paragraph" w:styleId="FigureName" w:customStyle="1">
    <w:name w:val="Figure Name"/>
    <w:basedOn w:val="Normal"/>
    <w:link w:val="FigureNameChar"/>
    <w:qFormat w:val="1"/>
    <w:rsid w:val="00747383"/>
    <w:pPr>
      <w:spacing w:after="240" w:before="60"/>
      <w:jc w:val="center"/>
    </w:pPr>
    <w:rPr>
      <w:rFonts w:eastAsia="Calibri"/>
    </w:rPr>
  </w:style>
  <w:style w:type="paragraph" w:styleId="Figure" w:customStyle="1">
    <w:name w:val="Figure"/>
    <w:basedOn w:val="Normal"/>
    <w:link w:val="FigureChar"/>
    <w:qFormat w:val="1"/>
    <w:rsid w:val="00747383"/>
    <w:pPr>
      <w:spacing w:after="60" w:before="240"/>
      <w:jc w:val="center"/>
    </w:pPr>
    <w:rPr>
      <w:rFonts w:eastAsia="Calibri"/>
      <w:bCs w:val="1"/>
      <w:noProof w:val="1"/>
    </w:rPr>
  </w:style>
  <w:style w:type="character" w:styleId="FigureNameChar" w:customStyle="1">
    <w:name w:val="Figure Name Char"/>
    <w:link w:val="FigureName"/>
    <w:rsid w:val="00747383"/>
    <w:rPr>
      <w:rFonts w:eastAsia="Calibri"/>
    </w:rPr>
  </w:style>
  <w:style w:type="character" w:styleId="FigureChar" w:customStyle="1">
    <w:name w:val="Figure Char"/>
    <w:link w:val="Figure"/>
    <w:rsid w:val="00747383"/>
    <w:rPr>
      <w:rFonts w:eastAsia="Calibri"/>
      <w:bCs w:val="1"/>
      <w:noProof w:val="1"/>
    </w:rPr>
  </w:style>
  <w:style w:type="character" w:styleId="SebutanYangBelumTerselesaikan">
    <w:name w:val="Unresolved Mention"/>
    <w:basedOn w:val="FontParagrafDefault"/>
    <w:uiPriority w:val="99"/>
    <w:semiHidden w:val="1"/>
    <w:unhideWhenUsed w:val="1"/>
    <w:rsid w:val="006E15B3"/>
    <w:rPr>
      <w:color w:val="605e5c"/>
      <w:shd w:color="auto" w:fill="e1dfdd" w:val="clear"/>
    </w:rPr>
  </w:style>
  <w:style w:type="table" w:styleId="a" w:customStyle="1">
    <w:basedOn w:val="TabelNormal"/>
    <w:tblPr>
      <w:tblStyleRowBandSize w:val="1"/>
      <w:tblStyleColBandSize w:val="1"/>
    </w:tblPr>
  </w:style>
  <w:style w:type="paragraph" w:styleId="Subtitle">
    <w:name w:val="Subtitle"/>
    <w:basedOn w:val="Normal"/>
    <w:next w:val="Normal"/>
    <w:pPr>
      <w:jc w:val="center"/>
    </w:pPr>
    <w:rPr>
      <w:b w:val="1"/>
      <w:bCs w:val="1"/>
      <w:sz w:val="32"/>
      <w:szCs w:val="32"/>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itraparamita@untag-sby.ac.id"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BcLV/O3h2SGiFgmfWFDDBGO6Ew==">CgMxLjAyDmguM2VoMjF4ZHpodXd6Mg5oLnB3c3B4ejUyajhqdzgAciExa0UxRnNBdXFzSHlVZ2R1bUFXUFdKOVlnR0Z5MTZhY3c=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2026-08-10T02:04:00Z</dcterms:created>
  <dc:creator>Paholo Iman Prakoso</dc:creator>
</cp:coreProperties>
</file>